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56A" w:rsidRPr="00C16081" w:rsidRDefault="002B656A" w:rsidP="002B656A">
      <w:pPr>
        <w:tabs>
          <w:tab w:val="left" w:pos="525"/>
          <w:tab w:val="center" w:pos="4680"/>
        </w:tabs>
        <w:rPr>
          <w:b/>
          <w:sz w:val="28"/>
          <w:szCs w:val="28"/>
        </w:rPr>
      </w:pPr>
    </w:p>
    <w:p w:rsidR="002B656A" w:rsidRPr="00C16081" w:rsidRDefault="002B656A" w:rsidP="002B656A">
      <w:pPr>
        <w:tabs>
          <w:tab w:val="left" w:pos="525"/>
          <w:tab w:val="center" w:pos="4680"/>
        </w:tabs>
        <w:rPr>
          <w:b/>
          <w:sz w:val="28"/>
          <w:szCs w:val="28"/>
        </w:rPr>
      </w:pPr>
      <w:r w:rsidRPr="00C16081">
        <w:rPr>
          <w:b/>
          <w:sz w:val="28"/>
          <w:szCs w:val="28"/>
        </w:rPr>
        <w:tab/>
      </w:r>
      <w:r w:rsidRPr="00C16081">
        <w:rPr>
          <w:b/>
          <w:sz w:val="28"/>
          <w:szCs w:val="28"/>
        </w:rPr>
        <w:tab/>
      </w:r>
    </w:p>
    <w:p w:rsidR="002B656A" w:rsidRPr="00F61BC0" w:rsidRDefault="002B656A" w:rsidP="002B656A">
      <w:pPr>
        <w:tabs>
          <w:tab w:val="left" w:pos="2340"/>
        </w:tabs>
        <w:jc w:val="center"/>
        <w:rPr>
          <w:rFonts w:ascii="Arial" w:hAnsi="Arial" w:cs="Arial"/>
          <w:b/>
          <w:sz w:val="44"/>
          <w:szCs w:val="44"/>
        </w:rPr>
      </w:pPr>
      <w:r w:rsidRPr="00F61BC0">
        <w:rPr>
          <w:rFonts w:ascii="Arial" w:hAnsi="Arial" w:cs="Arial"/>
          <w:b/>
          <w:sz w:val="44"/>
          <w:szCs w:val="44"/>
        </w:rPr>
        <w:t>EPHRAIM MOGALE LOCAL MUNICIPALITY</w:t>
      </w:r>
    </w:p>
    <w:p w:rsidR="002B656A" w:rsidRDefault="002B656A" w:rsidP="002B656A">
      <w:pPr>
        <w:tabs>
          <w:tab w:val="left" w:pos="2340"/>
        </w:tabs>
        <w:jc w:val="center"/>
        <w:rPr>
          <w:rFonts w:ascii="Arial" w:hAnsi="Arial" w:cs="Arial"/>
          <w:b/>
        </w:rPr>
      </w:pPr>
    </w:p>
    <w:p w:rsidR="002B656A" w:rsidRDefault="002B656A" w:rsidP="002B656A">
      <w:pPr>
        <w:tabs>
          <w:tab w:val="left" w:pos="2340"/>
        </w:tabs>
        <w:jc w:val="center"/>
        <w:rPr>
          <w:rFonts w:ascii="Arial" w:hAnsi="Arial" w:cs="Arial"/>
          <w:b/>
        </w:rPr>
      </w:pPr>
    </w:p>
    <w:p w:rsidR="002B656A" w:rsidRDefault="002B656A" w:rsidP="002B656A">
      <w:pPr>
        <w:tabs>
          <w:tab w:val="left" w:pos="2340"/>
        </w:tabs>
        <w:jc w:val="center"/>
        <w:rPr>
          <w:rFonts w:ascii="Arial" w:hAnsi="Arial" w:cs="Arial"/>
          <w:b/>
        </w:rPr>
      </w:pPr>
    </w:p>
    <w:p w:rsidR="002B656A" w:rsidRDefault="002B656A" w:rsidP="002B656A">
      <w:pPr>
        <w:tabs>
          <w:tab w:val="left" w:pos="2340"/>
        </w:tabs>
        <w:jc w:val="center"/>
        <w:rPr>
          <w:rFonts w:ascii="Arial" w:hAnsi="Arial" w:cs="Arial"/>
          <w:b/>
        </w:rPr>
      </w:pPr>
      <w:r>
        <w:rPr>
          <w:rFonts w:ascii="Arial" w:hAnsi="Arial" w:cs="Arial"/>
          <w:b/>
          <w:noProof/>
        </w:rPr>
        <w:drawing>
          <wp:inline distT="0" distB="0" distL="0" distR="0" wp14:anchorId="5D436E0F" wp14:editId="7EE216A1">
            <wp:extent cx="1495425" cy="12573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5425" cy="1257300"/>
                    </a:xfrm>
                    <a:prstGeom prst="rect">
                      <a:avLst/>
                    </a:prstGeom>
                    <a:noFill/>
                  </pic:spPr>
                </pic:pic>
              </a:graphicData>
            </a:graphic>
          </wp:inline>
        </w:drawing>
      </w:r>
    </w:p>
    <w:p w:rsidR="002B656A" w:rsidRPr="00E16511" w:rsidRDefault="002B656A" w:rsidP="002B656A">
      <w:pPr>
        <w:tabs>
          <w:tab w:val="left" w:pos="2340"/>
        </w:tabs>
        <w:jc w:val="center"/>
        <w:rPr>
          <w:rFonts w:ascii="Arial" w:hAnsi="Arial" w:cs="Arial"/>
          <w:b/>
        </w:rPr>
      </w:pPr>
    </w:p>
    <w:p w:rsidR="002B656A" w:rsidRPr="00C777D0" w:rsidRDefault="002B656A" w:rsidP="002B656A">
      <w:pPr>
        <w:tabs>
          <w:tab w:val="left" w:pos="2340"/>
        </w:tabs>
        <w:rPr>
          <w:sz w:val="28"/>
          <w:szCs w:val="28"/>
        </w:rPr>
      </w:pPr>
    </w:p>
    <w:p w:rsidR="002B656A" w:rsidRDefault="001E4808" w:rsidP="002B656A">
      <w:pPr>
        <w:tabs>
          <w:tab w:val="left" w:pos="525"/>
          <w:tab w:val="center" w:pos="4680"/>
        </w:tabs>
        <w:jc w:val="center"/>
        <w:rPr>
          <w:b/>
          <w:sz w:val="36"/>
          <w:szCs w:val="36"/>
        </w:rPr>
      </w:pPr>
      <w:r>
        <w:rPr>
          <w:b/>
          <w:sz w:val="36"/>
          <w:szCs w:val="36"/>
        </w:rPr>
        <w:t>INVESTMENT POLICY</w:t>
      </w:r>
    </w:p>
    <w:p w:rsidR="002B656A" w:rsidRPr="00F61BC0" w:rsidRDefault="00EA3B7D" w:rsidP="002B656A">
      <w:pPr>
        <w:tabs>
          <w:tab w:val="left" w:pos="525"/>
          <w:tab w:val="center" w:pos="4680"/>
        </w:tabs>
        <w:rPr>
          <w:b/>
          <w:sz w:val="36"/>
          <w:szCs w:val="36"/>
        </w:rPr>
      </w:pPr>
      <w:r>
        <w:rPr>
          <w:b/>
          <w:sz w:val="36"/>
          <w:szCs w:val="36"/>
        </w:rPr>
        <w:tab/>
      </w:r>
      <w:r>
        <w:rPr>
          <w:b/>
          <w:sz w:val="36"/>
          <w:szCs w:val="36"/>
        </w:rPr>
        <w:tab/>
        <w:t xml:space="preserve"> 2019/2020</w:t>
      </w:r>
      <w:r w:rsidR="002B656A" w:rsidRPr="00F61BC0">
        <w:rPr>
          <w:b/>
          <w:sz w:val="36"/>
          <w:szCs w:val="36"/>
        </w:rPr>
        <w:t xml:space="preserve"> </w:t>
      </w:r>
    </w:p>
    <w:p w:rsidR="002B656A" w:rsidRDefault="002B656A" w:rsidP="002B656A">
      <w:pPr>
        <w:tabs>
          <w:tab w:val="left" w:pos="2340"/>
        </w:tabs>
        <w:jc w:val="both"/>
      </w:pPr>
    </w:p>
    <w:p w:rsidR="002B656A" w:rsidRDefault="002B656A" w:rsidP="002B656A">
      <w:pPr>
        <w:tabs>
          <w:tab w:val="left" w:pos="2340"/>
        </w:tabs>
        <w:jc w:val="both"/>
      </w:pPr>
    </w:p>
    <w:p w:rsidR="002B656A" w:rsidRDefault="002B656A" w:rsidP="002B656A">
      <w:pPr>
        <w:tabs>
          <w:tab w:val="left" w:pos="234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2B656A" w:rsidRPr="00A76C5F" w:rsidTr="0095495C">
        <w:trPr>
          <w:trHeight w:val="3612"/>
        </w:trPr>
        <w:tc>
          <w:tcPr>
            <w:tcW w:w="9288" w:type="dxa"/>
            <w:shd w:val="clear" w:color="auto" w:fill="auto"/>
          </w:tcPr>
          <w:p w:rsidR="002B656A" w:rsidRPr="00A76C5F" w:rsidRDefault="002B656A" w:rsidP="0095495C">
            <w:pPr>
              <w:tabs>
                <w:tab w:val="left" w:pos="2340"/>
              </w:tabs>
              <w:jc w:val="both"/>
              <w:rPr>
                <w:b/>
                <w:u w:val="single"/>
              </w:rPr>
            </w:pPr>
          </w:p>
          <w:p w:rsidR="002B656A" w:rsidRPr="00A76C5F" w:rsidRDefault="002B656A" w:rsidP="0095495C">
            <w:pPr>
              <w:tabs>
                <w:tab w:val="left" w:pos="2340"/>
              </w:tabs>
              <w:jc w:val="both"/>
              <w:rPr>
                <w:b/>
                <w:u w:val="single"/>
              </w:rPr>
            </w:pPr>
            <w:r w:rsidRPr="00A76C5F">
              <w:rPr>
                <w:b/>
                <w:u w:val="single"/>
              </w:rPr>
              <w:t>DOCUMENT APPROVAL</w:t>
            </w:r>
          </w:p>
          <w:p w:rsidR="002B656A" w:rsidRPr="00A76C5F" w:rsidRDefault="002B656A" w:rsidP="0095495C">
            <w:pPr>
              <w:tabs>
                <w:tab w:val="left" w:pos="2340"/>
              </w:tabs>
              <w:jc w:val="both"/>
              <w:rPr>
                <w:b/>
                <w:u w:val="single"/>
              </w:rPr>
            </w:pPr>
          </w:p>
          <w:p w:rsidR="002B656A" w:rsidRPr="00A76C5F" w:rsidRDefault="002B656A" w:rsidP="0095495C">
            <w:pPr>
              <w:tabs>
                <w:tab w:val="left" w:pos="2340"/>
              </w:tabs>
              <w:jc w:val="both"/>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gridCol w:w="2149"/>
              <w:gridCol w:w="2151"/>
              <w:gridCol w:w="2338"/>
            </w:tblGrid>
            <w:tr w:rsidR="002B656A" w:rsidRPr="00A76C5F" w:rsidTr="0095495C">
              <w:tc>
                <w:tcPr>
                  <w:tcW w:w="2156" w:type="dxa"/>
                  <w:vMerge w:val="restart"/>
                  <w:shd w:val="clear" w:color="auto" w:fill="auto"/>
                </w:tcPr>
                <w:p w:rsidR="002B656A" w:rsidRPr="00A76C5F" w:rsidRDefault="002B656A" w:rsidP="0095495C">
                  <w:pPr>
                    <w:tabs>
                      <w:tab w:val="left" w:pos="2340"/>
                    </w:tabs>
                    <w:spacing w:line="360" w:lineRule="auto"/>
                    <w:jc w:val="center"/>
                    <w:rPr>
                      <w:b/>
                      <w:u w:val="single"/>
                    </w:rPr>
                  </w:pPr>
                  <w:r w:rsidRPr="00A76C5F">
                    <w:rPr>
                      <w:b/>
                    </w:rPr>
                    <w:t>Responsible Person:</w:t>
                  </w:r>
                </w:p>
              </w:tc>
              <w:tc>
                <w:tcPr>
                  <w:tcW w:w="2156" w:type="dxa"/>
                  <w:shd w:val="clear" w:color="auto" w:fill="auto"/>
                </w:tcPr>
                <w:p w:rsidR="002B656A" w:rsidRPr="00A76C5F" w:rsidRDefault="002B656A" w:rsidP="0095495C">
                  <w:pPr>
                    <w:tabs>
                      <w:tab w:val="left" w:pos="2340"/>
                    </w:tabs>
                    <w:spacing w:line="360" w:lineRule="auto"/>
                    <w:jc w:val="center"/>
                    <w:rPr>
                      <w:b/>
                    </w:rPr>
                  </w:pPr>
                  <w:r w:rsidRPr="00A76C5F">
                    <w:rPr>
                      <w:b/>
                    </w:rPr>
                    <w:t>Name</w:t>
                  </w:r>
                </w:p>
              </w:tc>
              <w:tc>
                <w:tcPr>
                  <w:tcW w:w="2156" w:type="dxa"/>
                  <w:shd w:val="clear" w:color="auto" w:fill="auto"/>
                </w:tcPr>
                <w:p w:rsidR="002B656A" w:rsidRPr="00A76C5F" w:rsidRDefault="002B656A" w:rsidP="0095495C">
                  <w:pPr>
                    <w:tabs>
                      <w:tab w:val="left" w:pos="2340"/>
                    </w:tabs>
                    <w:spacing w:line="360" w:lineRule="auto"/>
                    <w:jc w:val="center"/>
                    <w:rPr>
                      <w:b/>
                    </w:rPr>
                  </w:pPr>
                  <w:r w:rsidRPr="00A76C5F">
                    <w:rPr>
                      <w:b/>
                    </w:rPr>
                    <w:t>Signature</w:t>
                  </w:r>
                </w:p>
              </w:tc>
              <w:tc>
                <w:tcPr>
                  <w:tcW w:w="2347" w:type="dxa"/>
                  <w:shd w:val="clear" w:color="auto" w:fill="auto"/>
                </w:tcPr>
                <w:p w:rsidR="002B656A" w:rsidRPr="00A76C5F" w:rsidRDefault="002B656A" w:rsidP="0095495C">
                  <w:pPr>
                    <w:tabs>
                      <w:tab w:val="left" w:pos="2340"/>
                    </w:tabs>
                    <w:spacing w:line="360" w:lineRule="auto"/>
                    <w:jc w:val="center"/>
                    <w:rPr>
                      <w:b/>
                    </w:rPr>
                  </w:pPr>
                  <w:r w:rsidRPr="00A76C5F">
                    <w:rPr>
                      <w:b/>
                    </w:rPr>
                    <w:t>Date</w:t>
                  </w:r>
                </w:p>
              </w:tc>
            </w:tr>
            <w:tr w:rsidR="002B656A" w:rsidRPr="00A76C5F" w:rsidTr="0095495C">
              <w:tc>
                <w:tcPr>
                  <w:tcW w:w="2156" w:type="dxa"/>
                  <w:vMerge/>
                  <w:shd w:val="clear" w:color="auto" w:fill="auto"/>
                </w:tcPr>
                <w:p w:rsidR="002B656A" w:rsidRPr="00A76C5F" w:rsidRDefault="002B656A" w:rsidP="0095495C">
                  <w:pPr>
                    <w:tabs>
                      <w:tab w:val="left" w:pos="2340"/>
                    </w:tabs>
                    <w:spacing w:line="360" w:lineRule="auto"/>
                    <w:jc w:val="center"/>
                    <w:rPr>
                      <w:b/>
                    </w:rPr>
                  </w:pPr>
                </w:p>
              </w:tc>
              <w:tc>
                <w:tcPr>
                  <w:tcW w:w="2156" w:type="dxa"/>
                  <w:shd w:val="clear" w:color="auto" w:fill="auto"/>
                </w:tcPr>
                <w:p w:rsidR="002B656A" w:rsidRPr="00A76C5F" w:rsidRDefault="002B656A" w:rsidP="0095495C">
                  <w:pPr>
                    <w:tabs>
                      <w:tab w:val="left" w:pos="2340"/>
                    </w:tabs>
                    <w:spacing w:line="360" w:lineRule="auto"/>
                    <w:jc w:val="both"/>
                    <w:rPr>
                      <w:b/>
                      <w:u w:val="single"/>
                    </w:rPr>
                  </w:pPr>
                </w:p>
              </w:tc>
              <w:tc>
                <w:tcPr>
                  <w:tcW w:w="2156" w:type="dxa"/>
                  <w:shd w:val="clear" w:color="auto" w:fill="auto"/>
                </w:tcPr>
                <w:p w:rsidR="002B656A" w:rsidRPr="00A76C5F" w:rsidRDefault="002B656A" w:rsidP="0095495C">
                  <w:pPr>
                    <w:tabs>
                      <w:tab w:val="left" w:pos="2340"/>
                    </w:tabs>
                    <w:spacing w:line="360" w:lineRule="auto"/>
                    <w:jc w:val="both"/>
                    <w:rPr>
                      <w:b/>
                      <w:u w:val="single"/>
                    </w:rPr>
                  </w:pPr>
                </w:p>
              </w:tc>
              <w:tc>
                <w:tcPr>
                  <w:tcW w:w="2347" w:type="dxa"/>
                  <w:shd w:val="clear" w:color="auto" w:fill="auto"/>
                </w:tcPr>
                <w:p w:rsidR="002B656A" w:rsidRPr="00A76C5F" w:rsidRDefault="002B656A" w:rsidP="0095495C">
                  <w:pPr>
                    <w:tabs>
                      <w:tab w:val="left" w:pos="2340"/>
                    </w:tabs>
                    <w:spacing w:line="360" w:lineRule="auto"/>
                    <w:jc w:val="both"/>
                    <w:rPr>
                      <w:b/>
                      <w:u w:val="single"/>
                    </w:rPr>
                  </w:pPr>
                </w:p>
              </w:tc>
            </w:tr>
          </w:tbl>
          <w:p w:rsidR="002B656A" w:rsidRPr="00A76C5F" w:rsidRDefault="002B656A" w:rsidP="0095495C">
            <w:pPr>
              <w:tabs>
                <w:tab w:val="left" w:pos="2340"/>
              </w:tabs>
              <w:jc w:val="both"/>
              <w:rPr>
                <w:b/>
                <w:u w:val="single"/>
              </w:rPr>
            </w:pPr>
          </w:p>
          <w:p w:rsidR="002B656A" w:rsidRPr="00A76C5F" w:rsidRDefault="002B656A" w:rsidP="0095495C">
            <w:pPr>
              <w:tabs>
                <w:tab w:val="left" w:pos="2340"/>
              </w:tabs>
              <w:jc w:val="both"/>
              <w:rPr>
                <w:b/>
                <w:u w:val="single"/>
              </w:rPr>
            </w:pPr>
          </w:p>
          <w:p w:rsidR="002B656A" w:rsidRPr="00A76C5F" w:rsidRDefault="002B656A" w:rsidP="0095495C">
            <w:pPr>
              <w:tabs>
                <w:tab w:val="left" w:pos="2340"/>
              </w:tabs>
              <w:jc w:val="both"/>
              <w:rPr>
                <w:b/>
              </w:rPr>
            </w:pPr>
          </w:p>
          <w:p w:rsidR="002B656A" w:rsidRPr="00A76C5F" w:rsidRDefault="002B656A" w:rsidP="0095495C">
            <w:pPr>
              <w:tabs>
                <w:tab w:val="left" w:pos="2340"/>
              </w:tabs>
              <w:jc w:val="both"/>
              <w:rPr>
                <w:b/>
              </w:rPr>
            </w:pPr>
          </w:p>
          <w:p w:rsidR="002B656A" w:rsidRPr="00A76C5F" w:rsidRDefault="002B656A" w:rsidP="0095495C">
            <w:pPr>
              <w:tabs>
                <w:tab w:val="left" w:pos="2340"/>
              </w:tabs>
              <w:jc w:val="both"/>
              <w:rPr>
                <w:b/>
                <w:u w:val="single"/>
              </w:rPr>
            </w:pPr>
            <w:r w:rsidRPr="00A76C5F">
              <w:rPr>
                <w:b/>
              </w:rPr>
              <w:t xml:space="preserve">Date of approval:                  </w:t>
            </w:r>
            <w:r>
              <w:rPr>
                <w:b/>
              </w:rPr>
              <w:t>______________________________________________</w:t>
            </w:r>
          </w:p>
          <w:p w:rsidR="002B656A" w:rsidRPr="00A76C5F" w:rsidRDefault="002B656A" w:rsidP="0095495C">
            <w:pPr>
              <w:tabs>
                <w:tab w:val="left" w:pos="2340"/>
              </w:tabs>
              <w:jc w:val="both"/>
              <w:rPr>
                <w:b/>
                <w:u w:val="single"/>
              </w:rPr>
            </w:pPr>
            <w:r w:rsidRPr="00A76C5F">
              <w:rPr>
                <w:b/>
              </w:rPr>
              <w:t xml:space="preserve">                                                </w:t>
            </w:r>
            <w:r w:rsidRPr="00A76C5F">
              <w:rPr>
                <w:b/>
                <w:u w:val="single"/>
              </w:rPr>
              <w:t xml:space="preserve"> </w:t>
            </w:r>
          </w:p>
          <w:p w:rsidR="002B656A" w:rsidRPr="00A76C5F" w:rsidRDefault="002B656A" w:rsidP="0095495C">
            <w:pPr>
              <w:tabs>
                <w:tab w:val="left" w:pos="2340"/>
              </w:tabs>
              <w:jc w:val="both"/>
              <w:rPr>
                <w:b/>
                <w:u w:val="single"/>
              </w:rPr>
            </w:pPr>
          </w:p>
        </w:tc>
      </w:tr>
    </w:tbl>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Default="002B656A" w:rsidP="002B656A">
      <w:pPr>
        <w:tabs>
          <w:tab w:val="left" w:pos="525"/>
          <w:tab w:val="center" w:pos="4680"/>
        </w:tabs>
        <w:rPr>
          <w:b/>
          <w:sz w:val="28"/>
          <w:szCs w:val="28"/>
        </w:rPr>
      </w:pPr>
    </w:p>
    <w:p w:rsidR="002B656A" w:rsidRPr="0043668D" w:rsidRDefault="001E4808" w:rsidP="002B656A">
      <w:pPr>
        <w:pBdr>
          <w:bottom w:val="single" w:sz="6" w:space="1" w:color="auto"/>
        </w:pBdr>
        <w:tabs>
          <w:tab w:val="left" w:pos="525"/>
          <w:tab w:val="center" w:pos="4680"/>
        </w:tabs>
        <w:jc w:val="center"/>
        <w:rPr>
          <w:rFonts w:ascii="Arial" w:hAnsi="Arial" w:cs="Arial"/>
          <w:b/>
        </w:rPr>
      </w:pPr>
      <w:r>
        <w:rPr>
          <w:rFonts w:ascii="Arial" w:hAnsi="Arial" w:cs="Arial"/>
          <w:b/>
        </w:rPr>
        <w:t>INVESTMENT POLICY</w:t>
      </w:r>
    </w:p>
    <w:p w:rsidR="002B656A" w:rsidRPr="00F9393F" w:rsidRDefault="002B656A" w:rsidP="002B656A">
      <w:pPr>
        <w:ind w:left="720"/>
        <w:jc w:val="both"/>
        <w:rPr>
          <w:rFonts w:ascii="Arial" w:hAnsi="Arial" w:cs="Arial"/>
          <w:b/>
        </w:rPr>
      </w:pPr>
    </w:p>
    <w:p w:rsidR="002B656A" w:rsidRPr="00B518EE" w:rsidRDefault="002B656A" w:rsidP="002B656A">
      <w:pPr>
        <w:numPr>
          <w:ilvl w:val="0"/>
          <w:numId w:val="1"/>
        </w:numPr>
        <w:jc w:val="both"/>
        <w:rPr>
          <w:rFonts w:ascii="Arial" w:hAnsi="Arial" w:cs="Arial"/>
          <w:b/>
        </w:rPr>
      </w:pPr>
      <w:r w:rsidRPr="00B518EE">
        <w:rPr>
          <w:rFonts w:ascii="Arial" w:hAnsi="Arial" w:cs="Arial"/>
          <w:b/>
        </w:rPr>
        <w:lastRenderedPageBreak/>
        <w:t>PURPOSE</w:t>
      </w:r>
    </w:p>
    <w:p w:rsidR="002B656A" w:rsidRPr="001E4808" w:rsidRDefault="002B656A" w:rsidP="002B656A">
      <w:pPr>
        <w:ind w:left="720"/>
        <w:jc w:val="both"/>
        <w:rPr>
          <w:rFonts w:ascii="Arial" w:hAnsi="Arial" w:cs="Arial"/>
        </w:rPr>
      </w:pPr>
    </w:p>
    <w:p w:rsidR="001E4808" w:rsidRPr="001E4808" w:rsidRDefault="001E4808" w:rsidP="002B656A">
      <w:pPr>
        <w:ind w:left="720"/>
        <w:jc w:val="both"/>
        <w:rPr>
          <w:rFonts w:ascii="Arial" w:hAnsi="Arial" w:cs="Arial"/>
        </w:rPr>
      </w:pPr>
      <w:r w:rsidRPr="001E4808">
        <w:rPr>
          <w:rFonts w:ascii="Arial" w:hAnsi="Arial" w:cs="Arial"/>
        </w:rPr>
        <w:t>To regulate the investment of municipal monies.</w:t>
      </w:r>
    </w:p>
    <w:p w:rsidR="002B656A" w:rsidRPr="001E4808" w:rsidRDefault="001E4808" w:rsidP="002B656A">
      <w:pPr>
        <w:ind w:left="720"/>
        <w:jc w:val="both"/>
        <w:rPr>
          <w:rFonts w:ascii="Arial" w:hAnsi="Arial" w:cs="Arial"/>
        </w:rPr>
      </w:pPr>
      <w:r w:rsidRPr="001E4808">
        <w:rPr>
          <w:rFonts w:ascii="Arial" w:hAnsi="Arial" w:cs="Arial"/>
        </w:rPr>
        <w:t xml:space="preserve"> </w:t>
      </w:r>
    </w:p>
    <w:p w:rsidR="002B656A" w:rsidRPr="00B518EE" w:rsidRDefault="002B656A" w:rsidP="002B656A">
      <w:pPr>
        <w:numPr>
          <w:ilvl w:val="0"/>
          <w:numId w:val="1"/>
        </w:numPr>
        <w:jc w:val="both"/>
        <w:rPr>
          <w:rFonts w:ascii="Arial" w:hAnsi="Arial" w:cs="Arial"/>
          <w:b/>
        </w:rPr>
      </w:pPr>
      <w:r w:rsidRPr="00B518EE">
        <w:rPr>
          <w:rFonts w:ascii="Arial" w:hAnsi="Arial" w:cs="Arial"/>
          <w:b/>
        </w:rPr>
        <w:t>SCOPE OF APPLICATION.</w:t>
      </w:r>
    </w:p>
    <w:p w:rsidR="002B656A" w:rsidRPr="00B518EE" w:rsidRDefault="002B656A" w:rsidP="002B656A">
      <w:pPr>
        <w:jc w:val="both"/>
        <w:rPr>
          <w:rFonts w:ascii="Arial" w:hAnsi="Arial" w:cs="Arial"/>
          <w:b/>
        </w:rPr>
      </w:pPr>
    </w:p>
    <w:p w:rsidR="002B656A" w:rsidRDefault="001E4808" w:rsidP="002B656A">
      <w:pPr>
        <w:ind w:left="720"/>
        <w:jc w:val="both"/>
        <w:rPr>
          <w:rFonts w:ascii="Arial" w:hAnsi="Arial" w:cs="Arial"/>
        </w:rPr>
      </w:pPr>
      <w:r>
        <w:rPr>
          <w:rFonts w:ascii="Arial" w:hAnsi="Arial" w:cs="Arial"/>
        </w:rPr>
        <w:t xml:space="preserve">The </w:t>
      </w:r>
      <w:r w:rsidRPr="001E4808">
        <w:rPr>
          <w:rFonts w:ascii="Arial" w:hAnsi="Arial" w:cs="Arial"/>
        </w:rPr>
        <w:t>p</w:t>
      </w:r>
      <w:r w:rsidR="002B656A" w:rsidRPr="001E4808">
        <w:rPr>
          <w:rFonts w:ascii="Arial" w:hAnsi="Arial" w:cs="Arial"/>
        </w:rPr>
        <w:t>olicy shall apply to all employees</w:t>
      </w:r>
      <w:r w:rsidR="00124F8D">
        <w:rPr>
          <w:rFonts w:ascii="Arial" w:hAnsi="Arial" w:cs="Arial"/>
        </w:rPr>
        <w:t xml:space="preserve"> of the municipality and</w:t>
      </w:r>
      <w:r>
        <w:rPr>
          <w:rFonts w:ascii="Arial" w:hAnsi="Arial" w:cs="Arial"/>
        </w:rPr>
        <w:t xml:space="preserve"> </w:t>
      </w:r>
      <w:proofErr w:type="spellStart"/>
      <w:r>
        <w:rPr>
          <w:rFonts w:ascii="Arial" w:hAnsi="Arial" w:cs="Arial"/>
        </w:rPr>
        <w:t>councillorss</w:t>
      </w:r>
      <w:proofErr w:type="spellEnd"/>
      <w:r>
        <w:rPr>
          <w:rFonts w:ascii="Arial" w:hAnsi="Arial" w:cs="Arial"/>
        </w:rPr>
        <w:t>.</w:t>
      </w:r>
    </w:p>
    <w:p w:rsidR="004F50BE" w:rsidRDefault="004F50BE" w:rsidP="002B656A">
      <w:pPr>
        <w:ind w:left="720"/>
        <w:jc w:val="both"/>
        <w:rPr>
          <w:rFonts w:ascii="Arial" w:hAnsi="Arial" w:cs="Arial"/>
        </w:rPr>
      </w:pPr>
    </w:p>
    <w:p w:rsidR="004F50BE" w:rsidRPr="00B518EE" w:rsidRDefault="004F50BE" w:rsidP="004F50BE">
      <w:pPr>
        <w:pStyle w:val="ListParagraph"/>
        <w:numPr>
          <w:ilvl w:val="0"/>
          <w:numId w:val="1"/>
        </w:numPr>
        <w:jc w:val="both"/>
        <w:rPr>
          <w:rFonts w:ascii="Arial" w:hAnsi="Arial" w:cs="Arial"/>
          <w:b/>
        </w:rPr>
      </w:pPr>
      <w:r w:rsidRPr="00B518EE">
        <w:rPr>
          <w:rFonts w:ascii="Arial" w:hAnsi="Arial" w:cs="Arial"/>
          <w:b/>
        </w:rPr>
        <w:t>OBJECTIVES</w:t>
      </w:r>
    </w:p>
    <w:p w:rsidR="004F50BE" w:rsidRPr="00B518EE" w:rsidRDefault="004F50BE" w:rsidP="004F50BE">
      <w:pPr>
        <w:jc w:val="both"/>
        <w:rPr>
          <w:rFonts w:ascii="Arial" w:hAnsi="Arial" w:cs="Arial"/>
          <w:b/>
        </w:rPr>
      </w:pPr>
    </w:p>
    <w:p w:rsidR="004F50BE" w:rsidRDefault="004F50BE" w:rsidP="004F50BE">
      <w:pPr>
        <w:ind w:left="720"/>
        <w:jc w:val="both"/>
        <w:rPr>
          <w:rFonts w:ascii="Arial" w:hAnsi="Arial" w:cs="Arial"/>
        </w:rPr>
      </w:pPr>
      <w:r>
        <w:rPr>
          <w:rFonts w:ascii="Arial" w:hAnsi="Arial" w:cs="Arial"/>
        </w:rPr>
        <w:t>3.1.</w:t>
      </w:r>
      <w:r>
        <w:rPr>
          <w:rFonts w:ascii="Arial" w:hAnsi="Arial" w:cs="Arial"/>
        </w:rPr>
        <w:tab/>
      </w:r>
      <w:proofErr w:type="gramStart"/>
      <w:r>
        <w:rPr>
          <w:rFonts w:ascii="Arial" w:hAnsi="Arial" w:cs="Arial"/>
        </w:rPr>
        <w:t>the</w:t>
      </w:r>
      <w:proofErr w:type="gramEnd"/>
      <w:r>
        <w:rPr>
          <w:rFonts w:ascii="Arial" w:hAnsi="Arial" w:cs="Arial"/>
        </w:rPr>
        <w:t xml:space="preserve"> preservation and safety of investments</w:t>
      </w:r>
    </w:p>
    <w:p w:rsidR="004F50BE" w:rsidRDefault="004F50BE" w:rsidP="004F50BE">
      <w:pPr>
        <w:ind w:left="720"/>
        <w:jc w:val="both"/>
        <w:rPr>
          <w:rFonts w:ascii="Arial" w:hAnsi="Arial" w:cs="Arial"/>
        </w:rPr>
      </w:pPr>
      <w:r>
        <w:rPr>
          <w:rFonts w:ascii="Arial" w:hAnsi="Arial" w:cs="Arial"/>
        </w:rPr>
        <w:t>3.2.</w:t>
      </w:r>
      <w:r>
        <w:rPr>
          <w:rFonts w:ascii="Arial" w:hAnsi="Arial" w:cs="Arial"/>
        </w:rPr>
        <w:tab/>
      </w:r>
      <w:proofErr w:type="gramStart"/>
      <w:r>
        <w:rPr>
          <w:rFonts w:ascii="Arial" w:hAnsi="Arial" w:cs="Arial"/>
        </w:rPr>
        <w:t>the</w:t>
      </w:r>
      <w:proofErr w:type="gramEnd"/>
      <w:r>
        <w:rPr>
          <w:rFonts w:ascii="Arial" w:hAnsi="Arial" w:cs="Arial"/>
        </w:rPr>
        <w:t xml:space="preserve"> need for investment diversification</w:t>
      </w:r>
    </w:p>
    <w:p w:rsidR="004F50BE" w:rsidRDefault="004F50BE" w:rsidP="004F50BE">
      <w:pPr>
        <w:ind w:left="720"/>
        <w:jc w:val="both"/>
        <w:rPr>
          <w:rFonts w:ascii="Arial" w:hAnsi="Arial" w:cs="Arial"/>
        </w:rPr>
      </w:pPr>
      <w:r>
        <w:rPr>
          <w:rFonts w:ascii="Arial" w:hAnsi="Arial" w:cs="Arial"/>
        </w:rPr>
        <w:t>3.3.</w:t>
      </w:r>
      <w:r>
        <w:rPr>
          <w:rFonts w:ascii="Arial" w:hAnsi="Arial" w:cs="Arial"/>
        </w:rPr>
        <w:tab/>
      </w:r>
      <w:proofErr w:type="gramStart"/>
      <w:r>
        <w:rPr>
          <w:rFonts w:ascii="Arial" w:hAnsi="Arial" w:cs="Arial"/>
        </w:rPr>
        <w:t>the</w:t>
      </w:r>
      <w:proofErr w:type="gramEnd"/>
      <w:r>
        <w:rPr>
          <w:rFonts w:ascii="Arial" w:hAnsi="Arial" w:cs="Arial"/>
        </w:rPr>
        <w:t xml:space="preserve"> liquidity needs of the municipality</w:t>
      </w:r>
    </w:p>
    <w:p w:rsidR="004F50BE" w:rsidRDefault="004F50BE" w:rsidP="004F50BE">
      <w:pPr>
        <w:ind w:left="720"/>
        <w:jc w:val="both"/>
        <w:rPr>
          <w:rFonts w:ascii="Arial" w:hAnsi="Arial" w:cs="Arial"/>
        </w:rPr>
      </w:pPr>
      <w:r>
        <w:rPr>
          <w:rFonts w:ascii="Arial" w:hAnsi="Arial" w:cs="Arial"/>
        </w:rPr>
        <w:t>3.4.</w:t>
      </w:r>
      <w:r>
        <w:rPr>
          <w:rFonts w:ascii="Arial" w:hAnsi="Arial" w:cs="Arial"/>
        </w:rPr>
        <w:tab/>
      </w:r>
      <w:proofErr w:type="gramStart"/>
      <w:r>
        <w:rPr>
          <w:rFonts w:ascii="Arial" w:hAnsi="Arial" w:cs="Arial"/>
        </w:rPr>
        <w:t>minimum</w:t>
      </w:r>
      <w:proofErr w:type="gramEnd"/>
      <w:r>
        <w:rPr>
          <w:rFonts w:ascii="Arial" w:hAnsi="Arial" w:cs="Arial"/>
        </w:rPr>
        <w:t xml:space="preserve"> acceptable credit rating for investments, including-</w:t>
      </w:r>
    </w:p>
    <w:p w:rsidR="004F50BE" w:rsidRDefault="004F50BE" w:rsidP="004F50BE">
      <w:pPr>
        <w:ind w:left="2160" w:hanging="720"/>
        <w:jc w:val="both"/>
        <w:rPr>
          <w:rFonts w:ascii="Arial" w:hAnsi="Arial" w:cs="Arial"/>
        </w:rPr>
      </w:pPr>
      <w:r>
        <w:rPr>
          <w:rFonts w:ascii="Arial" w:hAnsi="Arial" w:cs="Arial"/>
        </w:rPr>
        <w:t xml:space="preserve">(a) </w:t>
      </w:r>
      <w:r>
        <w:rPr>
          <w:rFonts w:ascii="Arial" w:hAnsi="Arial" w:cs="Arial"/>
        </w:rPr>
        <w:tab/>
      </w:r>
      <w:proofErr w:type="gramStart"/>
      <w:r>
        <w:rPr>
          <w:rFonts w:ascii="Arial" w:hAnsi="Arial" w:cs="Arial"/>
        </w:rPr>
        <w:t>a</w:t>
      </w:r>
      <w:proofErr w:type="gramEnd"/>
      <w:r>
        <w:rPr>
          <w:rFonts w:ascii="Arial" w:hAnsi="Arial" w:cs="Arial"/>
        </w:rPr>
        <w:t xml:space="preserve"> list of approved investment types that may be made subject to the Regulations</w:t>
      </w:r>
    </w:p>
    <w:p w:rsidR="004F50BE" w:rsidRDefault="004F50BE" w:rsidP="004F50BE">
      <w:pPr>
        <w:ind w:left="2160" w:hanging="720"/>
        <w:jc w:val="both"/>
        <w:rPr>
          <w:rFonts w:ascii="Arial" w:hAnsi="Arial" w:cs="Arial"/>
        </w:rPr>
      </w:pPr>
      <w:r>
        <w:rPr>
          <w:rFonts w:ascii="Arial" w:hAnsi="Arial" w:cs="Arial"/>
        </w:rPr>
        <w:t>(b)</w:t>
      </w:r>
      <w:r>
        <w:rPr>
          <w:rFonts w:ascii="Arial" w:hAnsi="Arial" w:cs="Arial"/>
        </w:rPr>
        <w:tab/>
      </w:r>
      <w:proofErr w:type="gramStart"/>
      <w:r>
        <w:rPr>
          <w:rFonts w:ascii="Arial" w:hAnsi="Arial" w:cs="Arial"/>
        </w:rPr>
        <w:t>a</w:t>
      </w:r>
      <w:proofErr w:type="gramEnd"/>
      <w:r>
        <w:rPr>
          <w:rFonts w:ascii="Arial" w:hAnsi="Arial" w:cs="Arial"/>
        </w:rPr>
        <w:t xml:space="preserve"> list of approved institutions where or through which investments may be made subject to the regulation 10</w:t>
      </w:r>
    </w:p>
    <w:p w:rsidR="004F50BE" w:rsidRDefault="004F50BE" w:rsidP="004F50BE">
      <w:pPr>
        <w:ind w:left="2160" w:hanging="720"/>
        <w:jc w:val="both"/>
        <w:rPr>
          <w:rFonts w:ascii="Arial" w:hAnsi="Arial" w:cs="Arial"/>
        </w:rPr>
      </w:pPr>
      <w:r>
        <w:rPr>
          <w:rFonts w:ascii="Arial" w:hAnsi="Arial" w:cs="Arial"/>
        </w:rPr>
        <w:t>(c)</w:t>
      </w:r>
      <w:r>
        <w:rPr>
          <w:rFonts w:ascii="Arial" w:hAnsi="Arial" w:cs="Arial"/>
        </w:rPr>
        <w:tab/>
      </w:r>
      <w:proofErr w:type="gramStart"/>
      <w:r>
        <w:rPr>
          <w:rFonts w:ascii="Arial" w:hAnsi="Arial" w:cs="Arial"/>
        </w:rPr>
        <w:t>procedure</w:t>
      </w:r>
      <w:proofErr w:type="gramEnd"/>
      <w:r>
        <w:rPr>
          <w:rFonts w:ascii="Arial" w:hAnsi="Arial" w:cs="Arial"/>
        </w:rPr>
        <w:t xml:space="preserve"> for the invitation and selection of competitive bids or offers in accordance with Part 1 of Chapter 11 of the Act.</w:t>
      </w:r>
    </w:p>
    <w:p w:rsidR="004F50BE" w:rsidRDefault="004F50BE" w:rsidP="004F50BE">
      <w:pPr>
        <w:ind w:left="2160" w:hanging="720"/>
        <w:jc w:val="both"/>
        <w:rPr>
          <w:rFonts w:ascii="Arial" w:hAnsi="Arial" w:cs="Arial"/>
        </w:rPr>
      </w:pPr>
      <w:r>
        <w:rPr>
          <w:rFonts w:ascii="Arial" w:hAnsi="Arial" w:cs="Arial"/>
        </w:rPr>
        <w:lastRenderedPageBreak/>
        <w:t>(d)</w:t>
      </w:r>
      <w:r>
        <w:rPr>
          <w:rFonts w:ascii="Arial" w:hAnsi="Arial" w:cs="Arial"/>
        </w:rPr>
        <w:tab/>
      </w:r>
      <w:proofErr w:type="gramStart"/>
      <w:r>
        <w:rPr>
          <w:rFonts w:ascii="Arial" w:hAnsi="Arial" w:cs="Arial"/>
        </w:rPr>
        <w:t>measures</w:t>
      </w:r>
      <w:proofErr w:type="gramEnd"/>
      <w:r>
        <w:rPr>
          <w:rFonts w:ascii="Arial" w:hAnsi="Arial" w:cs="Arial"/>
        </w:rPr>
        <w:t xml:space="preserve"> for ensuring implementation of the policy and internal control over investments made</w:t>
      </w:r>
    </w:p>
    <w:p w:rsidR="004F50BE" w:rsidRDefault="004F50BE" w:rsidP="004F50BE">
      <w:pPr>
        <w:ind w:left="2160" w:hanging="720"/>
        <w:jc w:val="both"/>
        <w:rPr>
          <w:rFonts w:ascii="Arial" w:hAnsi="Arial" w:cs="Arial"/>
        </w:rPr>
      </w:pPr>
      <w:r>
        <w:rPr>
          <w:rFonts w:ascii="Arial" w:hAnsi="Arial" w:cs="Arial"/>
        </w:rPr>
        <w:t>(e)</w:t>
      </w:r>
      <w:r>
        <w:rPr>
          <w:rFonts w:ascii="Arial" w:hAnsi="Arial" w:cs="Arial"/>
        </w:rPr>
        <w:tab/>
      </w:r>
      <w:proofErr w:type="gramStart"/>
      <w:r>
        <w:rPr>
          <w:rFonts w:ascii="Arial" w:hAnsi="Arial" w:cs="Arial"/>
        </w:rPr>
        <w:t>procedure</w:t>
      </w:r>
      <w:proofErr w:type="gramEnd"/>
      <w:r>
        <w:rPr>
          <w:rFonts w:ascii="Arial" w:hAnsi="Arial" w:cs="Arial"/>
        </w:rPr>
        <w:t xml:space="preserve"> for reporting and monitoring of all investments made subject to the Regulation 9</w:t>
      </w:r>
    </w:p>
    <w:p w:rsidR="004F50BE" w:rsidRDefault="004F50BE" w:rsidP="004F50BE">
      <w:pPr>
        <w:ind w:left="2160" w:hanging="720"/>
        <w:jc w:val="both"/>
        <w:rPr>
          <w:rFonts w:ascii="Arial" w:hAnsi="Arial" w:cs="Arial"/>
        </w:rPr>
      </w:pPr>
      <w:r>
        <w:rPr>
          <w:rFonts w:ascii="Arial" w:hAnsi="Arial" w:cs="Arial"/>
        </w:rPr>
        <w:t>(f)</w:t>
      </w:r>
      <w:r>
        <w:rPr>
          <w:rFonts w:ascii="Arial" w:hAnsi="Arial" w:cs="Arial"/>
        </w:rPr>
        <w:tab/>
      </w:r>
      <w:proofErr w:type="gramStart"/>
      <w:r>
        <w:rPr>
          <w:rFonts w:ascii="Arial" w:hAnsi="Arial" w:cs="Arial"/>
        </w:rPr>
        <w:t>procedures</w:t>
      </w:r>
      <w:proofErr w:type="gramEnd"/>
      <w:r>
        <w:rPr>
          <w:rFonts w:ascii="Arial" w:hAnsi="Arial" w:cs="Arial"/>
        </w:rPr>
        <w:t xml:space="preserve"> for benchmarking and performance evaluation.</w:t>
      </w:r>
    </w:p>
    <w:p w:rsidR="004F50BE" w:rsidRDefault="004F50BE" w:rsidP="004F50BE">
      <w:pPr>
        <w:ind w:left="2160" w:hanging="720"/>
        <w:jc w:val="both"/>
        <w:rPr>
          <w:rFonts w:ascii="Arial" w:hAnsi="Arial" w:cs="Arial"/>
        </w:rPr>
      </w:pPr>
      <w:r>
        <w:rPr>
          <w:rFonts w:ascii="Arial" w:hAnsi="Arial" w:cs="Arial"/>
        </w:rPr>
        <w:t>(g)</w:t>
      </w:r>
      <w:r>
        <w:rPr>
          <w:rFonts w:ascii="Arial" w:hAnsi="Arial" w:cs="Arial"/>
        </w:rPr>
        <w:tab/>
      </w:r>
      <w:proofErr w:type="gramStart"/>
      <w:r>
        <w:rPr>
          <w:rFonts w:ascii="Arial" w:hAnsi="Arial" w:cs="Arial"/>
        </w:rPr>
        <w:t>the</w:t>
      </w:r>
      <w:proofErr w:type="gramEnd"/>
      <w:r>
        <w:rPr>
          <w:rFonts w:ascii="Arial" w:hAnsi="Arial" w:cs="Arial"/>
        </w:rPr>
        <w:t xml:space="preserve"> assignment of roles and functions, including any delegation of decision making powers.</w:t>
      </w:r>
    </w:p>
    <w:p w:rsidR="004F50BE" w:rsidRDefault="004F50BE" w:rsidP="004F50BE">
      <w:pPr>
        <w:ind w:left="2160" w:hanging="720"/>
        <w:jc w:val="both"/>
        <w:rPr>
          <w:rFonts w:ascii="Arial" w:hAnsi="Arial" w:cs="Arial"/>
        </w:rPr>
      </w:pPr>
      <w:r>
        <w:rPr>
          <w:rFonts w:ascii="Arial" w:hAnsi="Arial" w:cs="Arial"/>
        </w:rPr>
        <w:t>(h)</w:t>
      </w:r>
      <w:r>
        <w:rPr>
          <w:rFonts w:ascii="Arial" w:hAnsi="Arial" w:cs="Arial"/>
        </w:rPr>
        <w:tab/>
      </w:r>
      <w:proofErr w:type="gramStart"/>
      <w:r>
        <w:rPr>
          <w:rFonts w:ascii="Arial" w:hAnsi="Arial" w:cs="Arial"/>
        </w:rPr>
        <w:t>conditions</w:t>
      </w:r>
      <w:proofErr w:type="gramEnd"/>
      <w:r>
        <w:rPr>
          <w:rFonts w:ascii="Arial" w:hAnsi="Arial" w:cs="Arial"/>
        </w:rPr>
        <w:t xml:space="preserve"> for the </w:t>
      </w:r>
      <w:proofErr w:type="spellStart"/>
      <w:r>
        <w:rPr>
          <w:rFonts w:ascii="Arial" w:hAnsi="Arial" w:cs="Arial"/>
        </w:rPr>
        <w:t>usa</w:t>
      </w:r>
      <w:proofErr w:type="spellEnd"/>
      <w:r w:rsidR="00124F8D">
        <w:rPr>
          <w:rFonts w:ascii="Arial" w:hAnsi="Arial" w:cs="Arial"/>
        </w:rPr>
        <w:t xml:space="preserve"> of Municipality</w:t>
      </w:r>
      <w:r>
        <w:rPr>
          <w:rFonts w:ascii="Arial" w:hAnsi="Arial" w:cs="Arial"/>
        </w:rPr>
        <w:t>, including their liability in the event of non-compliance with the policy or the regulations. And</w:t>
      </w:r>
    </w:p>
    <w:p w:rsidR="004F50BE" w:rsidRPr="004F50BE" w:rsidRDefault="004F50BE" w:rsidP="004F50BE">
      <w:pPr>
        <w:ind w:left="2160"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r>
      <w:proofErr w:type="gramStart"/>
      <w:r>
        <w:rPr>
          <w:rFonts w:ascii="Arial" w:hAnsi="Arial" w:cs="Arial"/>
        </w:rPr>
        <w:t>procedure</w:t>
      </w:r>
      <w:proofErr w:type="gramEnd"/>
      <w:r>
        <w:rPr>
          <w:rFonts w:ascii="Arial" w:hAnsi="Arial" w:cs="Arial"/>
        </w:rPr>
        <w:t xml:space="preserve"> for the annual review of the policy.</w:t>
      </w:r>
    </w:p>
    <w:p w:rsidR="002B656A" w:rsidRPr="00C16081" w:rsidRDefault="002B656A" w:rsidP="002B656A">
      <w:pPr>
        <w:ind w:left="720"/>
        <w:jc w:val="both"/>
        <w:rPr>
          <w:rFonts w:ascii="Arial" w:hAnsi="Arial" w:cs="Arial"/>
          <w:b/>
        </w:rPr>
      </w:pPr>
    </w:p>
    <w:p w:rsidR="002B656A" w:rsidRPr="00B518EE" w:rsidRDefault="009256E1" w:rsidP="002B656A">
      <w:pPr>
        <w:numPr>
          <w:ilvl w:val="0"/>
          <w:numId w:val="1"/>
        </w:numPr>
        <w:jc w:val="both"/>
        <w:rPr>
          <w:rFonts w:ascii="Arial" w:hAnsi="Arial" w:cs="Arial"/>
          <w:b/>
        </w:rPr>
      </w:pPr>
      <w:r w:rsidRPr="00B518EE">
        <w:rPr>
          <w:rFonts w:ascii="Arial" w:hAnsi="Arial" w:cs="Arial"/>
          <w:b/>
        </w:rPr>
        <w:t>DEFINITIONS</w:t>
      </w:r>
    </w:p>
    <w:p w:rsidR="002B656A" w:rsidRPr="00C16081" w:rsidRDefault="002B656A" w:rsidP="002B656A">
      <w:pPr>
        <w:jc w:val="both"/>
        <w:rPr>
          <w:rFonts w:ascii="Arial" w:hAnsi="Arial" w:cs="Arial"/>
          <w:b/>
        </w:rPr>
      </w:pPr>
    </w:p>
    <w:p w:rsidR="002B656A" w:rsidRPr="007C79CB" w:rsidRDefault="001E4808" w:rsidP="002B656A">
      <w:pPr>
        <w:spacing w:line="360" w:lineRule="auto"/>
        <w:ind w:left="2880" w:hanging="2160"/>
        <w:jc w:val="both"/>
        <w:rPr>
          <w:rFonts w:ascii="Arial" w:hAnsi="Arial" w:cs="Arial"/>
        </w:rPr>
      </w:pPr>
      <w:r>
        <w:rPr>
          <w:rFonts w:ascii="Arial" w:hAnsi="Arial" w:cs="Arial"/>
          <w:i/>
        </w:rPr>
        <w:t>“</w:t>
      </w:r>
      <w:r w:rsidRPr="007C79CB">
        <w:rPr>
          <w:rFonts w:ascii="Arial" w:hAnsi="Arial" w:cs="Arial"/>
        </w:rPr>
        <w:t>Act</w:t>
      </w:r>
      <w:r w:rsidR="002B656A" w:rsidRPr="007C79CB">
        <w:rPr>
          <w:rFonts w:ascii="Arial" w:hAnsi="Arial" w:cs="Arial"/>
        </w:rPr>
        <w:t>”</w:t>
      </w:r>
      <w:r w:rsidR="002B656A" w:rsidRPr="007C79CB">
        <w:rPr>
          <w:rFonts w:ascii="Arial" w:hAnsi="Arial" w:cs="Arial"/>
        </w:rPr>
        <w:tab/>
        <w:t xml:space="preserve">-means the </w:t>
      </w:r>
      <w:r w:rsidRPr="007C79CB">
        <w:rPr>
          <w:rFonts w:ascii="Arial" w:hAnsi="Arial" w:cs="Arial"/>
        </w:rPr>
        <w:t>Local Government: Municipal Finance Management Act, 2003 (Act 56 of 2003)</w:t>
      </w:r>
    </w:p>
    <w:p w:rsidR="002B656A" w:rsidRPr="007C79CB" w:rsidRDefault="009256E1" w:rsidP="00124F8D">
      <w:pPr>
        <w:spacing w:line="360" w:lineRule="auto"/>
        <w:ind w:left="2880" w:hanging="2160"/>
        <w:jc w:val="both"/>
        <w:rPr>
          <w:rFonts w:ascii="Arial" w:hAnsi="Arial" w:cs="Arial"/>
        </w:rPr>
      </w:pPr>
      <w:r w:rsidRPr="007C79CB">
        <w:rPr>
          <w:rFonts w:ascii="Arial" w:hAnsi="Arial" w:cs="Arial"/>
        </w:rPr>
        <w:t>“Investee</w:t>
      </w:r>
      <w:r w:rsidR="002B656A" w:rsidRPr="007C79CB">
        <w:rPr>
          <w:rFonts w:ascii="Arial" w:hAnsi="Arial" w:cs="Arial"/>
        </w:rPr>
        <w:t>”</w:t>
      </w:r>
      <w:r w:rsidR="002B656A" w:rsidRPr="007C79CB">
        <w:rPr>
          <w:rFonts w:ascii="Arial" w:hAnsi="Arial" w:cs="Arial"/>
        </w:rPr>
        <w:tab/>
        <w:t>-means</w:t>
      </w:r>
      <w:r w:rsidRPr="007C79CB">
        <w:rPr>
          <w:rFonts w:ascii="Arial" w:hAnsi="Arial" w:cs="Arial"/>
        </w:rPr>
        <w:t xml:space="preserve"> an institution with which an investment is placed, or its agent</w:t>
      </w:r>
    </w:p>
    <w:p w:rsidR="00124F8D" w:rsidRDefault="00124F8D" w:rsidP="002B656A">
      <w:pPr>
        <w:tabs>
          <w:tab w:val="left" w:pos="2880"/>
        </w:tabs>
        <w:spacing w:line="360" w:lineRule="auto"/>
        <w:ind w:left="3600" w:hanging="2880"/>
        <w:jc w:val="both"/>
        <w:rPr>
          <w:rFonts w:ascii="Arial" w:hAnsi="Arial" w:cs="Arial"/>
        </w:rPr>
      </w:pPr>
    </w:p>
    <w:p w:rsidR="00124F8D" w:rsidRDefault="00124F8D" w:rsidP="002B656A">
      <w:pPr>
        <w:tabs>
          <w:tab w:val="left" w:pos="2880"/>
        </w:tabs>
        <w:spacing w:line="360" w:lineRule="auto"/>
        <w:ind w:left="3600" w:hanging="2880"/>
        <w:jc w:val="both"/>
        <w:rPr>
          <w:rFonts w:ascii="Arial" w:hAnsi="Arial" w:cs="Arial"/>
        </w:rPr>
      </w:pPr>
    </w:p>
    <w:p w:rsidR="00124F8D" w:rsidRDefault="00124F8D" w:rsidP="002B656A">
      <w:pPr>
        <w:tabs>
          <w:tab w:val="left" w:pos="2880"/>
        </w:tabs>
        <w:spacing w:line="360" w:lineRule="auto"/>
        <w:ind w:left="3600" w:hanging="2880"/>
        <w:jc w:val="both"/>
        <w:rPr>
          <w:rFonts w:ascii="Arial" w:hAnsi="Arial" w:cs="Arial"/>
        </w:rPr>
      </w:pPr>
    </w:p>
    <w:p w:rsidR="00124F8D" w:rsidRDefault="00124F8D" w:rsidP="002B656A">
      <w:pPr>
        <w:tabs>
          <w:tab w:val="left" w:pos="2880"/>
        </w:tabs>
        <w:spacing w:line="360" w:lineRule="auto"/>
        <w:ind w:left="3600" w:hanging="2880"/>
        <w:jc w:val="both"/>
        <w:rPr>
          <w:rFonts w:ascii="Arial" w:hAnsi="Arial" w:cs="Arial"/>
        </w:rPr>
      </w:pPr>
    </w:p>
    <w:p w:rsidR="00124F8D" w:rsidRDefault="00124F8D" w:rsidP="002B656A">
      <w:pPr>
        <w:tabs>
          <w:tab w:val="left" w:pos="2880"/>
        </w:tabs>
        <w:spacing w:line="360" w:lineRule="auto"/>
        <w:ind w:left="3600" w:hanging="2880"/>
        <w:jc w:val="both"/>
        <w:rPr>
          <w:rFonts w:ascii="Arial" w:hAnsi="Arial" w:cs="Arial"/>
        </w:rPr>
      </w:pPr>
    </w:p>
    <w:p w:rsidR="00124F8D" w:rsidRDefault="00124F8D" w:rsidP="002B656A">
      <w:pPr>
        <w:tabs>
          <w:tab w:val="left" w:pos="2880"/>
        </w:tabs>
        <w:spacing w:line="360" w:lineRule="auto"/>
        <w:ind w:left="3600" w:hanging="2880"/>
        <w:jc w:val="both"/>
        <w:rPr>
          <w:rFonts w:ascii="Arial" w:hAnsi="Arial" w:cs="Arial"/>
        </w:rPr>
      </w:pPr>
    </w:p>
    <w:p w:rsidR="00124F8D" w:rsidRDefault="00124F8D" w:rsidP="002B656A">
      <w:pPr>
        <w:tabs>
          <w:tab w:val="left" w:pos="2880"/>
        </w:tabs>
        <w:spacing w:line="360" w:lineRule="auto"/>
        <w:ind w:left="3600" w:hanging="2880"/>
        <w:jc w:val="both"/>
        <w:rPr>
          <w:rFonts w:ascii="Arial" w:hAnsi="Arial" w:cs="Arial"/>
        </w:rPr>
      </w:pPr>
    </w:p>
    <w:p w:rsidR="00124F8D" w:rsidRPr="007C79CB" w:rsidRDefault="00124F8D" w:rsidP="002B656A">
      <w:pPr>
        <w:tabs>
          <w:tab w:val="left" w:pos="2880"/>
        </w:tabs>
        <w:spacing w:line="360" w:lineRule="auto"/>
        <w:ind w:left="3600" w:hanging="2880"/>
        <w:jc w:val="both"/>
        <w:rPr>
          <w:rFonts w:ascii="Arial" w:hAnsi="Arial" w:cs="Arial"/>
        </w:rPr>
      </w:pPr>
    </w:p>
    <w:p w:rsidR="002B656A" w:rsidRDefault="00D041E7" w:rsidP="002B656A">
      <w:pPr>
        <w:numPr>
          <w:ilvl w:val="0"/>
          <w:numId w:val="1"/>
        </w:numPr>
        <w:jc w:val="both"/>
        <w:rPr>
          <w:rFonts w:ascii="Arial" w:hAnsi="Arial" w:cs="Arial"/>
          <w:b/>
        </w:rPr>
      </w:pPr>
      <w:r>
        <w:rPr>
          <w:rFonts w:ascii="Arial" w:hAnsi="Arial" w:cs="Arial"/>
          <w:b/>
        </w:rPr>
        <w:t>STANDARD OF CARE TO BE EXERCISED WHEN MAKING INVESTMENT.</w:t>
      </w:r>
    </w:p>
    <w:p w:rsidR="00D041E7" w:rsidRDefault="00D041E7" w:rsidP="00D041E7">
      <w:pPr>
        <w:ind w:left="720"/>
        <w:jc w:val="both"/>
        <w:rPr>
          <w:rFonts w:ascii="Arial" w:hAnsi="Arial" w:cs="Arial"/>
          <w:b/>
        </w:rPr>
      </w:pPr>
    </w:p>
    <w:p w:rsidR="00D041E7" w:rsidRDefault="00D041E7" w:rsidP="00D041E7">
      <w:pPr>
        <w:ind w:left="720"/>
        <w:jc w:val="both"/>
        <w:rPr>
          <w:rFonts w:ascii="Arial" w:hAnsi="Arial" w:cs="Arial"/>
        </w:rPr>
      </w:pPr>
      <w:r>
        <w:rPr>
          <w:rFonts w:ascii="Arial" w:hAnsi="Arial" w:cs="Arial"/>
          <w:b/>
        </w:rPr>
        <w:t xml:space="preserve">5.1. </w:t>
      </w:r>
      <w:r>
        <w:rPr>
          <w:rFonts w:ascii="Arial" w:hAnsi="Arial" w:cs="Arial"/>
        </w:rPr>
        <w:t>Investments by a municipa</w:t>
      </w:r>
      <w:r w:rsidR="00124F8D">
        <w:rPr>
          <w:rFonts w:ascii="Arial" w:hAnsi="Arial" w:cs="Arial"/>
        </w:rPr>
        <w:t xml:space="preserve">lity or by </w:t>
      </w:r>
      <w:proofErr w:type="gramStart"/>
      <w:r w:rsidR="00124F8D">
        <w:rPr>
          <w:rFonts w:ascii="Arial" w:hAnsi="Arial" w:cs="Arial"/>
        </w:rPr>
        <w:t>an</w:t>
      </w:r>
      <w:proofErr w:type="gramEnd"/>
      <w:r w:rsidR="00124F8D">
        <w:rPr>
          <w:rFonts w:ascii="Arial" w:hAnsi="Arial" w:cs="Arial"/>
        </w:rPr>
        <w:t xml:space="preserve"> Chief Financial Officer</w:t>
      </w:r>
      <w:r>
        <w:rPr>
          <w:rFonts w:ascii="Arial" w:hAnsi="Arial" w:cs="Arial"/>
        </w:rPr>
        <w:t xml:space="preserve"> on behalf of the </w:t>
      </w:r>
      <w:r w:rsidR="00750054">
        <w:rPr>
          <w:rFonts w:ascii="Arial" w:hAnsi="Arial" w:cs="Arial"/>
        </w:rPr>
        <w:t>municipality:</w:t>
      </w:r>
    </w:p>
    <w:p w:rsidR="00D041E7" w:rsidRDefault="00D041E7" w:rsidP="00D041E7">
      <w:pPr>
        <w:ind w:left="720"/>
        <w:jc w:val="both"/>
        <w:rPr>
          <w:rFonts w:ascii="Arial" w:hAnsi="Arial" w:cs="Arial"/>
        </w:rPr>
      </w:pPr>
    </w:p>
    <w:p w:rsidR="00D041E7" w:rsidRDefault="00D041E7" w:rsidP="00D041E7">
      <w:pPr>
        <w:ind w:left="720"/>
        <w:jc w:val="both"/>
        <w:rPr>
          <w:rFonts w:ascii="Arial" w:hAnsi="Arial" w:cs="Arial"/>
        </w:rPr>
      </w:pPr>
      <w:r>
        <w:rPr>
          <w:rFonts w:ascii="Arial" w:hAnsi="Arial" w:cs="Arial"/>
        </w:rPr>
        <w:tab/>
        <w:t xml:space="preserve">5.1.1. </w:t>
      </w:r>
      <w:proofErr w:type="gramStart"/>
      <w:r>
        <w:rPr>
          <w:rFonts w:ascii="Arial" w:hAnsi="Arial" w:cs="Arial"/>
        </w:rPr>
        <w:t>must</w:t>
      </w:r>
      <w:proofErr w:type="gramEnd"/>
      <w:r>
        <w:rPr>
          <w:rFonts w:ascii="Arial" w:hAnsi="Arial" w:cs="Arial"/>
        </w:rPr>
        <w:t xml:space="preserve"> be made with such judgment and care, under prevailing </w:t>
      </w:r>
    </w:p>
    <w:p w:rsidR="00D041E7" w:rsidRDefault="00D041E7" w:rsidP="00D041E7">
      <w:pPr>
        <w:ind w:left="2160"/>
        <w:jc w:val="both"/>
        <w:rPr>
          <w:rFonts w:ascii="Arial" w:hAnsi="Arial" w:cs="Arial"/>
        </w:rPr>
      </w:pPr>
      <w:proofErr w:type="gramStart"/>
      <w:r>
        <w:rPr>
          <w:rFonts w:ascii="Arial" w:hAnsi="Arial" w:cs="Arial"/>
        </w:rPr>
        <w:t>circumstances</w:t>
      </w:r>
      <w:proofErr w:type="gramEnd"/>
      <w:r>
        <w:rPr>
          <w:rFonts w:ascii="Arial" w:hAnsi="Arial" w:cs="Arial"/>
        </w:rPr>
        <w:t>, as a person of prudence, discretion and   intelligence would exercise in the management of that person’s own affairs.</w:t>
      </w:r>
    </w:p>
    <w:p w:rsidR="00D041E7" w:rsidRDefault="00D041E7" w:rsidP="00D041E7">
      <w:pPr>
        <w:ind w:left="2160" w:hanging="720"/>
        <w:jc w:val="both"/>
        <w:rPr>
          <w:rFonts w:ascii="Arial" w:hAnsi="Arial" w:cs="Arial"/>
        </w:rPr>
      </w:pPr>
      <w:r>
        <w:rPr>
          <w:rFonts w:ascii="Arial" w:hAnsi="Arial" w:cs="Arial"/>
        </w:rPr>
        <w:t>5.1.2.</w:t>
      </w:r>
      <w:r>
        <w:rPr>
          <w:rFonts w:ascii="Arial" w:hAnsi="Arial" w:cs="Arial"/>
        </w:rPr>
        <w:tab/>
      </w:r>
      <w:proofErr w:type="gramStart"/>
      <w:r>
        <w:rPr>
          <w:rFonts w:ascii="Arial" w:hAnsi="Arial" w:cs="Arial"/>
        </w:rPr>
        <w:t>may</w:t>
      </w:r>
      <w:proofErr w:type="gramEnd"/>
      <w:r>
        <w:rPr>
          <w:rFonts w:ascii="Arial" w:hAnsi="Arial" w:cs="Arial"/>
        </w:rPr>
        <w:t xml:space="preserve"> not be made for speculation but must be a genuine investment</w:t>
      </w:r>
    </w:p>
    <w:p w:rsidR="00D041E7" w:rsidRDefault="00D041E7" w:rsidP="00D041E7">
      <w:pPr>
        <w:ind w:left="2160" w:hanging="720"/>
        <w:jc w:val="both"/>
        <w:rPr>
          <w:rFonts w:ascii="Arial" w:hAnsi="Arial" w:cs="Arial"/>
        </w:rPr>
      </w:pPr>
      <w:r>
        <w:rPr>
          <w:rFonts w:ascii="Arial" w:hAnsi="Arial" w:cs="Arial"/>
        </w:rPr>
        <w:t>5.1.3.</w:t>
      </w:r>
      <w:r>
        <w:rPr>
          <w:rFonts w:ascii="Arial" w:hAnsi="Arial" w:cs="Arial"/>
        </w:rPr>
        <w:tab/>
      </w:r>
      <w:proofErr w:type="gramStart"/>
      <w:r>
        <w:rPr>
          <w:rFonts w:ascii="Arial" w:hAnsi="Arial" w:cs="Arial"/>
        </w:rPr>
        <w:t>must</w:t>
      </w:r>
      <w:proofErr w:type="gramEnd"/>
      <w:r>
        <w:rPr>
          <w:rFonts w:ascii="Arial" w:hAnsi="Arial" w:cs="Arial"/>
        </w:rPr>
        <w:t xml:space="preserve"> in the first instance be made with primary regard being to the probable safety of the investment, in the second instance to the liquidity needs of the municipality and lastly to the probable income derived from investment.</w:t>
      </w:r>
    </w:p>
    <w:p w:rsidR="00FE7231" w:rsidRDefault="00FE7231" w:rsidP="00D041E7">
      <w:pPr>
        <w:jc w:val="both"/>
        <w:rPr>
          <w:rFonts w:ascii="Arial" w:hAnsi="Arial" w:cs="Arial"/>
        </w:rPr>
      </w:pPr>
    </w:p>
    <w:p w:rsidR="00D041E7" w:rsidRPr="00D43764" w:rsidRDefault="00D041E7" w:rsidP="00D43764">
      <w:pPr>
        <w:pStyle w:val="ListParagraph"/>
        <w:numPr>
          <w:ilvl w:val="0"/>
          <w:numId w:val="1"/>
        </w:numPr>
        <w:jc w:val="both"/>
        <w:rPr>
          <w:rFonts w:ascii="Arial" w:hAnsi="Arial" w:cs="Arial"/>
          <w:b/>
        </w:rPr>
      </w:pPr>
      <w:r w:rsidRPr="00D43764">
        <w:rPr>
          <w:rFonts w:ascii="Arial" w:hAnsi="Arial" w:cs="Arial"/>
          <w:b/>
        </w:rPr>
        <w:lastRenderedPageBreak/>
        <w:t>PERMITTED INVESTMENTS</w:t>
      </w:r>
      <w:r w:rsidR="00D43764" w:rsidRPr="00D43764">
        <w:rPr>
          <w:rFonts w:ascii="Arial" w:hAnsi="Arial" w:cs="Arial"/>
          <w:b/>
        </w:rPr>
        <w:t>.</w:t>
      </w:r>
    </w:p>
    <w:p w:rsidR="00D43764" w:rsidRDefault="00D43764" w:rsidP="00D43764">
      <w:pPr>
        <w:jc w:val="both"/>
        <w:rPr>
          <w:rFonts w:ascii="Arial" w:hAnsi="Arial" w:cs="Arial"/>
          <w:b/>
        </w:rPr>
      </w:pPr>
    </w:p>
    <w:p w:rsidR="00D43764" w:rsidRDefault="00D43764" w:rsidP="00D43764">
      <w:pPr>
        <w:jc w:val="both"/>
        <w:rPr>
          <w:rFonts w:ascii="Arial" w:hAnsi="Arial" w:cs="Arial"/>
        </w:rPr>
      </w:pPr>
      <w:r>
        <w:rPr>
          <w:rFonts w:ascii="Arial" w:hAnsi="Arial" w:cs="Arial"/>
          <w:b/>
        </w:rPr>
        <w:t>6.1.</w:t>
      </w:r>
      <w:r>
        <w:rPr>
          <w:rFonts w:ascii="Arial" w:hAnsi="Arial" w:cs="Arial"/>
          <w:b/>
        </w:rPr>
        <w:tab/>
      </w:r>
      <w:r>
        <w:rPr>
          <w:rFonts w:ascii="Arial" w:hAnsi="Arial" w:cs="Arial"/>
        </w:rPr>
        <w:t>A municipality may invest funds only in any of the following:-</w:t>
      </w:r>
    </w:p>
    <w:p w:rsidR="00D43764" w:rsidRDefault="00D43764" w:rsidP="00D43764">
      <w:pPr>
        <w:jc w:val="both"/>
        <w:rPr>
          <w:rFonts w:ascii="Arial" w:hAnsi="Arial" w:cs="Arial"/>
        </w:rPr>
      </w:pPr>
    </w:p>
    <w:p w:rsidR="00D43764" w:rsidRDefault="00D43764" w:rsidP="00D43764">
      <w:pPr>
        <w:jc w:val="both"/>
        <w:rPr>
          <w:rFonts w:ascii="Arial" w:hAnsi="Arial" w:cs="Arial"/>
        </w:rPr>
      </w:pPr>
      <w:r>
        <w:rPr>
          <w:rFonts w:ascii="Arial" w:hAnsi="Arial" w:cs="Arial"/>
        </w:rPr>
        <w:tab/>
        <w:t>6.1.1.</w:t>
      </w:r>
      <w:r>
        <w:rPr>
          <w:rFonts w:ascii="Arial" w:hAnsi="Arial" w:cs="Arial"/>
        </w:rPr>
        <w:tab/>
      </w:r>
      <w:proofErr w:type="gramStart"/>
      <w:r>
        <w:rPr>
          <w:rFonts w:ascii="Arial" w:hAnsi="Arial" w:cs="Arial"/>
        </w:rPr>
        <w:t>securities</w:t>
      </w:r>
      <w:proofErr w:type="gramEnd"/>
      <w:r>
        <w:rPr>
          <w:rFonts w:ascii="Arial" w:hAnsi="Arial" w:cs="Arial"/>
        </w:rPr>
        <w:t xml:space="preserve"> issued by the national government.</w:t>
      </w:r>
    </w:p>
    <w:p w:rsidR="00D43764" w:rsidRDefault="00D43764" w:rsidP="00D43764">
      <w:pPr>
        <w:jc w:val="both"/>
        <w:rPr>
          <w:rFonts w:ascii="Arial" w:hAnsi="Arial" w:cs="Arial"/>
        </w:rPr>
      </w:pPr>
      <w:r>
        <w:rPr>
          <w:rFonts w:ascii="Arial" w:hAnsi="Arial" w:cs="Arial"/>
        </w:rPr>
        <w:tab/>
        <w:t>6.1.2.</w:t>
      </w:r>
      <w:r>
        <w:rPr>
          <w:rFonts w:ascii="Arial" w:hAnsi="Arial" w:cs="Arial"/>
        </w:rPr>
        <w:tab/>
      </w:r>
      <w:proofErr w:type="gramStart"/>
      <w:r>
        <w:rPr>
          <w:rFonts w:ascii="Arial" w:hAnsi="Arial" w:cs="Arial"/>
        </w:rPr>
        <w:t>listed</w:t>
      </w:r>
      <w:proofErr w:type="gramEnd"/>
      <w:r>
        <w:rPr>
          <w:rFonts w:ascii="Arial" w:hAnsi="Arial" w:cs="Arial"/>
        </w:rPr>
        <w:t xml:space="preserve"> corporate bonds with an investment grade rating from a nationally </w:t>
      </w:r>
      <w:r>
        <w:rPr>
          <w:rFonts w:ascii="Arial" w:hAnsi="Arial" w:cs="Arial"/>
        </w:rPr>
        <w:tab/>
      </w:r>
      <w:r>
        <w:rPr>
          <w:rFonts w:ascii="Arial" w:hAnsi="Arial" w:cs="Arial"/>
        </w:rPr>
        <w:tab/>
        <w:t>or internationally recognized credit rating agency.</w:t>
      </w:r>
    </w:p>
    <w:p w:rsidR="00D43764" w:rsidRDefault="00D43764" w:rsidP="00D43764">
      <w:pPr>
        <w:ind w:left="1440" w:hanging="720"/>
        <w:jc w:val="both"/>
        <w:rPr>
          <w:rFonts w:ascii="Arial" w:hAnsi="Arial" w:cs="Arial"/>
        </w:rPr>
      </w:pPr>
      <w:r>
        <w:rPr>
          <w:rFonts w:ascii="Arial" w:hAnsi="Arial" w:cs="Arial"/>
        </w:rPr>
        <w:t>6.1.3.</w:t>
      </w:r>
      <w:r>
        <w:rPr>
          <w:rFonts w:ascii="Arial" w:hAnsi="Arial" w:cs="Arial"/>
        </w:rPr>
        <w:tab/>
      </w:r>
      <w:proofErr w:type="gramStart"/>
      <w:r>
        <w:rPr>
          <w:rFonts w:ascii="Arial" w:hAnsi="Arial" w:cs="Arial"/>
        </w:rPr>
        <w:t>deposit</w:t>
      </w:r>
      <w:proofErr w:type="gramEnd"/>
      <w:r>
        <w:rPr>
          <w:rFonts w:ascii="Arial" w:hAnsi="Arial" w:cs="Arial"/>
        </w:rPr>
        <w:t xml:space="preserve"> with banks registered in terms of the Banks Act, 1990 (Act no. 94 of 1990)</w:t>
      </w:r>
    </w:p>
    <w:p w:rsidR="00D43764" w:rsidRDefault="00D43764" w:rsidP="00D43764">
      <w:pPr>
        <w:ind w:left="1440" w:hanging="720"/>
        <w:jc w:val="both"/>
        <w:rPr>
          <w:rFonts w:ascii="Arial" w:hAnsi="Arial" w:cs="Arial"/>
        </w:rPr>
      </w:pPr>
      <w:r>
        <w:rPr>
          <w:rFonts w:ascii="Arial" w:hAnsi="Arial" w:cs="Arial"/>
        </w:rPr>
        <w:t>6.2.4.</w:t>
      </w:r>
      <w:r>
        <w:rPr>
          <w:rFonts w:ascii="Arial" w:hAnsi="Arial" w:cs="Arial"/>
        </w:rPr>
        <w:tab/>
      </w:r>
      <w:proofErr w:type="gramStart"/>
      <w:r>
        <w:rPr>
          <w:rFonts w:ascii="Arial" w:hAnsi="Arial" w:cs="Arial"/>
        </w:rPr>
        <w:t>deposit</w:t>
      </w:r>
      <w:proofErr w:type="gramEnd"/>
      <w:r>
        <w:rPr>
          <w:rFonts w:ascii="Arial" w:hAnsi="Arial" w:cs="Arial"/>
        </w:rPr>
        <w:t xml:space="preserve"> with the Public Investment Corporation Commissioners as contemplated by the Public Investment Commissioners Act, 1984. (Act No. 46 of 1984)</w:t>
      </w:r>
    </w:p>
    <w:p w:rsidR="00D43764" w:rsidRDefault="00D43764" w:rsidP="00D43764">
      <w:pPr>
        <w:ind w:left="1440" w:hanging="720"/>
        <w:jc w:val="both"/>
        <w:rPr>
          <w:rFonts w:ascii="Arial" w:hAnsi="Arial" w:cs="Arial"/>
        </w:rPr>
      </w:pPr>
      <w:r>
        <w:rPr>
          <w:rFonts w:ascii="Arial" w:hAnsi="Arial" w:cs="Arial"/>
        </w:rPr>
        <w:t>6.1.5.</w:t>
      </w:r>
      <w:r>
        <w:rPr>
          <w:rFonts w:ascii="Arial" w:hAnsi="Arial" w:cs="Arial"/>
        </w:rPr>
        <w:tab/>
      </w:r>
      <w:proofErr w:type="gramStart"/>
      <w:r>
        <w:rPr>
          <w:rFonts w:ascii="Arial" w:hAnsi="Arial" w:cs="Arial"/>
        </w:rPr>
        <w:t>banker’s</w:t>
      </w:r>
      <w:proofErr w:type="gramEnd"/>
      <w:r>
        <w:rPr>
          <w:rFonts w:ascii="Arial" w:hAnsi="Arial" w:cs="Arial"/>
        </w:rPr>
        <w:t xml:space="preserve"> acceptance certificates or negotiable certificates of deposit of banks registered in terms of Banks Act. 1990.</w:t>
      </w:r>
    </w:p>
    <w:p w:rsidR="00D43764" w:rsidRDefault="00D43764" w:rsidP="00D43764">
      <w:pPr>
        <w:ind w:left="1440" w:hanging="720"/>
        <w:jc w:val="both"/>
        <w:rPr>
          <w:rFonts w:ascii="Arial" w:hAnsi="Arial" w:cs="Arial"/>
        </w:rPr>
      </w:pPr>
      <w:r>
        <w:rPr>
          <w:rFonts w:ascii="Arial" w:hAnsi="Arial" w:cs="Arial"/>
        </w:rPr>
        <w:t>6.1.6.</w:t>
      </w:r>
      <w:r>
        <w:rPr>
          <w:rFonts w:ascii="Arial" w:hAnsi="Arial" w:cs="Arial"/>
        </w:rPr>
        <w:tab/>
      </w:r>
      <w:proofErr w:type="gramStart"/>
      <w:r>
        <w:rPr>
          <w:rFonts w:ascii="Arial" w:hAnsi="Arial" w:cs="Arial"/>
        </w:rPr>
        <w:t>guaranteed</w:t>
      </w:r>
      <w:proofErr w:type="gramEnd"/>
      <w:r>
        <w:rPr>
          <w:rFonts w:ascii="Arial" w:hAnsi="Arial" w:cs="Arial"/>
        </w:rPr>
        <w:t xml:space="preserve"> endowm</w:t>
      </w:r>
      <w:bookmarkStart w:id="0" w:name="_GoBack"/>
      <w:bookmarkEnd w:id="0"/>
      <w:r>
        <w:rPr>
          <w:rFonts w:ascii="Arial" w:hAnsi="Arial" w:cs="Arial"/>
        </w:rPr>
        <w:t>ent policies with the intention of establishing a sinking fund.</w:t>
      </w:r>
    </w:p>
    <w:p w:rsidR="00D43764" w:rsidRDefault="00D43764" w:rsidP="00D43764">
      <w:pPr>
        <w:ind w:left="1440" w:hanging="720"/>
        <w:jc w:val="both"/>
        <w:rPr>
          <w:rFonts w:ascii="Arial" w:hAnsi="Arial" w:cs="Arial"/>
        </w:rPr>
      </w:pPr>
      <w:r>
        <w:rPr>
          <w:rFonts w:ascii="Arial" w:hAnsi="Arial" w:cs="Arial"/>
        </w:rPr>
        <w:t>6.1.7.</w:t>
      </w:r>
      <w:r>
        <w:rPr>
          <w:rFonts w:ascii="Arial" w:hAnsi="Arial" w:cs="Arial"/>
        </w:rPr>
        <w:tab/>
      </w:r>
      <w:proofErr w:type="gramStart"/>
      <w:r>
        <w:rPr>
          <w:rFonts w:ascii="Arial" w:hAnsi="Arial" w:cs="Arial"/>
        </w:rPr>
        <w:t>repurchase</w:t>
      </w:r>
      <w:proofErr w:type="gramEnd"/>
      <w:r>
        <w:rPr>
          <w:rFonts w:ascii="Arial" w:hAnsi="Arial" w:cs="Arial"/>
        </w:rPr>
        <w:t xml:space="preserve"> agreements with banks registered in terms of the Banks Act, 1990.</w:t>
      </w:r>
    </w:p>
    <w:p w:rsidR="00D43764" w:rsidRDefault="00D43764" w:rsidP="00D43764">
      <w:pPr>
        <w:ind w:left="1440" w:hanging="720"/>
        <w:jc w:val="both"/>
        <w:rPr>
          <w:rFonts w:ascii="Arial" w:hAnsi="Arial" w:cs="Arial"/>
        </w:rPr>
      </w:pPr>
      <w:r>
        <w:rPr>
          <w:rFonts w:ascii="Arial" w:hAnsi="Arial" w:cs="Arial"/>
        </w:rPr>
        <w:t>6.1.8.</w:t>
      </w:r>
      <w:r>
        <w:rPr>
          <w:rFonts w:ascii="Arial" w:hAnsi="Arial" w:cs="Arial"/>
        </w:rPr>
        <w:tab/>
      </w:r>
      <w:proofErr w:type="gramStart"/>
      <w:r>
        <w:rPr>
          <w:rFonts w:ascii="Arial" w:hAnsi="Arial" w:cs="Arial"/>
        </w:rPr>
        <w:t>municipal</w:t>
      </w:r>
      <w:proofErr w:type="gramEnd"/>
      <w:r>
        <w:rPr>
          <w:rFonts w:ascii="Arial" w:hAnsi="Arial" w:cs="Arial"/>
        </w:rPr>
        <w:t xml:space="preserve"> bonds issued by a municipality and</w:t>
      </w:r>
    </w:p>
    <w:p w:rsidR="00D43764" w:rsidRDefault="00D43764" w:rsidP="00D43764">
      <w:pPr>
        <w:ind w:left="1440" w:hanging="720"/>
        <w:jc w:val="both"/>
        <w:rPr>
          <w:rFonts w:ascii="Arial" w:hAnsi="Arial" w:cs="Arial"/>
        </w:rPr>
      </w:pPr>
      <w:r>
        <w:rPr>
          <w:rFonts w:ascii="Arial" w:hAnsi="Arial" w:cs="Arial"/>
        </w:rPr>
        <w:lastRenderedPageBreak/>
        <w:t>6.1.9</w:t>
      </w:r>
      <w:r>
        <w:rPr>
          <w:rFonts w:ascii="Arial" w:hAnsi="Arial" w:cs="Arial"/>
        </w:rPr>
        <w:tab/>
      </w:r>
      <w:proofErr w:type="gramStart"/>
      <w:r>
        <w:rPr>
          <w:rFonts w:ascii="Arial" w:hAnsi="Arial" w:cs="Arial"/>
        </w:rPr>
        <w:t>any</w:t>
      </w:r>
      <w:proofErr w:type="gramEnd"/>
      <w:r>
        <w:rPr>
          <w:rFonts w:ascii="Arial" w:hAnsi="Arial" w:cs="Arial"/>
        </w:rPr>
        <w:t xml:space="preserve"> other investment type as the Minister may identify by regulation in terms of section 168 of the Act, in consultation with the Financial Services Board.</w:t>
      </w:r>
    </w:p>
    <w:p w:rsidR="00D95E3E" w:rsidRDefault="00D95E3E" w:rsidP="00D43764">
      <w:pPr>
        <w:ind w:left="1440" w:hanging="720"/>
        <w:jc w:val="both"/>
        <w:rPr>
          <w:rFonts w:ascii="Arial" w:hAnsi="Arial" w:cs="Arial"/>
        </w:rPr>
      </w:pPr>
    </w:p>
    <w:p w:rsidR="000D76E8" w:rsidRPr="000D76E8" w:rsidRDefault="00CA0BF1" w:rsidP="000D76E8">
      <w:pPr>
        <w:autoSpaceDE w:val="0"/>
        <w:autoSpaceDN w:val="0"/>
        <w:adjustRightInd w:val="0"/>
        <w:spacing w:line="360" w:lineRule="auto"/>
        <w:rPr>
          <w:rFonts w:ascii="Arial" w:hAnsi="Arial" w:cs="Arial"/>
          <w:b/>
        </w:rPr>
      </w:pPr>
      <w:r w:rsidRPr="000D76E8">
        <w:rPr>
          <w:rFonts w:ascii="Arial" w:hAnsi="Arial" w:cs="Arial"/>
          <w:b/>
        </w:rPr>
        <w:t xml:space="preserve">6.2 CALL DEPOSITS AND FIXED DEPOSITS </w:t>
      </w:r>
    </w:p>
    <w:p w:rsidR="000D76E8" w:rsidRPr="000D76E8" w:rsidRDefault="000D76E8" w:rsidP="000D76E8">
      <w:pPr>
        <w:autoSpaceDE w:val="0"/>
        <w:autoSpaceDN w:val="0"/>
        <w:adjustRightInd w:val="0"/>
        <w:spacing w:line="360" w:lineRule="auto"/>
        <w:ind w:left="1440" w:hanging="720"/>
        <w:jc w:val="both"/>
        <w:rPr>
          <w:rFonts w:ascii="Arial" w:hAnsi="Arial" w:cs="Arial"/>
        </w:rPr>
      </w:pPr>
      <w:r w:rsidRPr="000D76E8">
        <w:rPr>
          <w:rFonts w:ascii="Arial" w:hAnsi="Arial" w:cs="Arial"/>
        </w:rPr>
        <w:t>6.2</w:t>
      </w:r>
      <w:r w:rsidRPr="000D76E8">
        <w:rPr>
          <w:rFonts w:ascii="Arial" w:hAnsi="Arial" w:cs="Arial"/>
        </w:rPr>
        <w:t xml:space="preserve">.1 </w:t>
      </w:r>
      <w:r w:rsidRPr="000D76E8">
        <w:rPr>
          <w:rFonts w:ascii="Arial" w:hAnsi="Arial" w:cs="Arial"/>
        </w:rPr>
        <w:tab/>
        <w:t xml:space="preserve">Prior to any investment being made the Chief Financial Officer shall obtain at least three quotations from financial institutions registered as bank in terms of the Banks Act, 1990. These quotations shall then be recorded in a register containing the following information: </w:t>
      </w:r>
    </w:p>
    <w:p w:rsidR="000D76E8" w:rsidRPr="000D76E8" w:rsidRDefault="000D76E8" w:rsidP="000D76E8">
      <w:pPr>
        <w:autoSpaceDE w:val="0"/>
        <w:autoSpaceDN w:val="0"/>
        <w:adjustRightInd w:val="0"/>
        <w:spacing w:line="360" w:lineRule="auto"/>
        <w:ind w:left="2160"/>
        <w:jc w:val="both"/>
        <w:rPr>
          <w:rFonts w:ascii="Arial" w:hAnsi="Arial" w:cs="Arial"/>
        </w:rPr>
      </w:pPr>
      <w:r w:rsidRPr="000D76E8">
        <w:rPr>
          <w:rFonts w:ascii="Arial" w:hAnsi="Arial" w:cs="Arial"/>
        </w:rPr>
        <w:t xml:space="preserve">• </w:t>
      </w:r>
      <w:r w:rsidRPr="000D76E8">
        <w:rPr>
          <w:rFonts w:ascii="Arial" w:hAnsi="Arial" w:cs="Arial"/>
        </w:rPr>
        <w:tab/>
        <w:t xml:space="preserve">Date of obtaining the quotation </w:t>
      </w:r>
    </w:p>
    <w:p w:rsidR="000D76E8" w:rsidRPr="000D76E8" w:rsidRDefault="000D76E8" w:rsidP="000D76E8">
      <w:pPr>
        <w:autoSpaceDE w:val="0"/>
        <w:autoSpaceDN w:val="0"/>
        <w:adjustRightInd w:val="0"/>
        <w:spacing w:line="360" w:lineRule="auto"/>
        <w:ind w:left="2160"/>
        <w:jc w:val="both"/>
        <w:rPr>
          <w:rFonts w:ascii="Arial" w:hAnsi="Arial" w:cs="Arial"/>
        </w:rPr>
      </w:pPr>
      <w:r w:rsidRPr="000D76E8">
        <w:rPr>
          <w:rFonts w:ascii="Arial" w:hAnsi="Arial" w:cs="Arial"/>
        </w:rPr>
        <w:t xml:space="preserve">• </w:t>
      </w:r>
      <w:r w:rsidRPr="000D76E8">
        <w:rPr>
          <w:rFonts w:ascii="Arial" w:hAnsi="Arial" w:cs="Arial"/>
        </w:rPr>
        <w:tab/>
        <w:t xml:space="preserve">Name of the institution </w:t>
      </w:r>
    </w:p>
    <w:p w:rsidR="000D76E8" w:rsidRPr="000D76E8" w:rsidRDefault="000D76E8" w:rsidP="000D76E8">
      <w:pPr>
        <w:autoSpaceDE w:val="0"/>
        <w:autoSpaceDN w:val="0"/>
        <w:adjustRightInd w:val="0"/>
        <w:spacing w:line="360" w:lineRule="auto"/>
        <w:ind w:left="2880" w:hanging="720"/>
        <w:jc w:val="both"/>
        <w:rPr>
          <w:rFonts w:ascii="Arial" w:hAnsi="Arial" w:cs="Arial"/>
        </w:rPr>
      </w:pPr>
      <w:r w:rsidRPr="000D76E8">
        <w:rPr>
          <w:rFonts w:ascii="Arial" w:hAnsi="Arial" w:cs="Arial"/>
        </w:rPr>
        <w:t xml:space="preserve">• </w:t>
      </w:r>
      <w:r w:rsidRPr="000D76E8">
        <w:rPr>
          <w:rFonts w:ascii="Arial" w:hAnsi="Arial" w:cs="Arial"/>
        </w:rPr>
        <w:tab/>
        <w:t xml:space="preserve">Name of contact person at the institution providing the quotation </w:t>
      </w:r>
    </w:p>
    <w:p w:rsidR="000D76E8" w:rsidRPr="000D76E8" w:rsidRDefault="000D76E8" w:rsidP="000D76E8">
      <w:pPr>
        <w:autoSpaceDE w:val="0"/>
        <w:autoSpaceDN w:val="0"/>
        <w:adjustRightInd w:val="0"/>
        <w:spacing w:line="360" w:lineRule="auto"/>
        <w:ind w:left="2160"/>
        <w:jc w:val="both"/>
        <w:rPr>
          <w:rFonts w:ascii="Arial" w:hAnsi="Arial" w:cs="Arial"/>
        </w:rPr>
      </w:pPr>
      <w:r w:rsidRPr="000D76E8">
        <w:rPr>
          <w:rFonts w:ascii="Arial" w:hAnsi="Arial" w:cs="Arial"/>
        </w:rPr>
        <w:t xml:space="preserve">• </w:t>
      </w:r>
      <w:r w:rsidRPr="000D76E8">
        <w:rPr>
          <w:rFonts w:ascii="Arial" w:hAnsi="Arial" w:cs="Arial"/>
        </w:rPr>
        <w:tab/>
        <w:t xml:space="preserve">Amount to be invested at the quoted term and rates </w:t>
      </w:r>
    </w:p>
    <w:p w:rsidR="000D76E8" w:rsidRPr="000D76E8" w:rsidRDefault="000D76E8" w:rsidP="000D76E8">
      <w:pPr>
        <w:autoSpaceDE w:val="0"/>
        <w:autoSpaceDN w:val="0"/>
        <w:adjustRightInd w:val="0"/>
        <w:spacing w:line="360" w:lineRule="auto"/>
        <w:ind w:left="2160"/>
        <w:jc w:val="both"/>
        <w:rPr>
          <w:rFonts w:ascii="Arial" w:hAnsi="Arial" w:cs="Arial"/>
        </w:rPr>
      </w:pPr>
      <w:r w:rsidRPr="000D76E8">
        <w:rPr>
          <w:rFonts w:ascii="Arial" w:hAnsi="Arial" w:cs="Arial"/>
        </w:rPr>
        <w:t xml:space="preserve">• </w:t>
      </w:r>
      <w:r w:rsidRPr="000D76E8">
        <w:rPr>
          <w:rFonts w:ascii="Arial" w:hAnsi="Arial" w:cs="Arial"/>
        </w:rPr>
        <w:tab/>
        <w:t xml:space="preserve">Relevant terms and rates </w:t>
      </w:r>
    </w:p>
    <w:p w:rsidR="000D76E8" w:rsidRPr="000D76E8" w:rsidRDefault="000D76E8" w:rsidP="000D76E8">
      <w:pPr>
        <w:autoSpaceDE w:val="0"/>
        <w:autoSpaceDN w:val="0"/>
        <w:adjustRightInd w:val="0"/>
        <w:spacing w:line="360" w:lineRule="auto"/>
        <w:ind w:left="2880" w:hanging="720"/>
        <w:jc w:val="both"/>
        <w:rPr>
          <w:rFonts w:ascii="Arial" w:hAnsi="Arial" w:cs="Arial"/>
        </w:rPr>
      </w:pPr>
      <w:r w:rsidRPr="000D76E8">
        <w:rPr>
          <w:rFonts w:ascii="Arial" w:hAnsi="Arial" w:cs="Arial"/>
        </w:rPr>
        <w:t xml:space="preserve">• </w:t>
      </w:r>
      <w:r w:rsidRPr="000D76E8">
        <w:rPr>
          <w:rFonts w:ascii="Arial" w:hAnsi="Arial" w:cs="Arial"/>
        </w:rPr>
        <w:tab/>
        <w:t xml:space="preserve">Other relevant information as decided by the Chief Financial Officer </w:t>
      </w:r>
    </w:p>
    <w:p w:rsidR="000D76E8" w:rsidRDefault="000D76E8" w:rsidP="000D76E8">
      <w:pPr>
        <w:autoSpaceDE w:val="0"/>
        <w:autoSpaceDN w:val="0"/>
        <w:adjustRightInd w:val="0"/>
        <w:spacing w:line="360" w:lineRule="auto"/>
        <w:ind w:left="1440" w:hanging="720"/>
        <w:jc w:val="both"/>
        <w:rPr>
          <w:rFonts w:ascii="Arial" w:hAnsi="Arial" w:cs="Arial"/>
        </w:rPr>
      </w:pPr>
      <w:r>
        <w:rPr>
          <w:rFonts w:ascii="Arial" w:hAnsi="Arial" w:cs="Arial"/>
        </w:rPr>
        <w:t>6.2.2</w:t>
      </w:r>
      <w:r w:rsidRPr="000D76E8">
        <w:rPr>
          <w:rFonts w:ascii="Arial" w:hAnsi="Arial" w:cs="Arial"/>
        </w:rPr>
        <w:tab/>
        <w:t xml:space="preserve">Telephonic quotations shall be followed by written quotations before the investment deposit is made.  </w:t>
      </w:r>
    </w:p>
    <w:p w:rsidR="00124F8D" w:rsidRPr="000D76E8" w:rsidRDefault="000D76E8" w:rsidP="000D76E8">
      <w:pPr>
        <w:autoSpaceDE w:val="0"/>
        <w:autoSpaceDN w:val="0"/>
        <w:adjustRightInd w:val="0"/>
        <w:spacing w:line="360" w:lineRule="auto"/>
        <w:ind w:left="1440" w:hanging="720"/>
        <w:jc w:val="both"/>
        <w:rPr>
          <w:rFonts w:ascii="Arial" w:hAnsi="Arial" w:cs="Arial"/>
        </w:rPr>
      </w:pPr>
      <w:r>
        <w:rPr>
          <w:rFonts w:ascii="Arial" w:hAnsi="Arial" w:cs="Arial"/>
        </w:rPr>
        <w:t xml:space="preserve">6.2.3 Any </w:t>
      </w:r>
      <w:r w:rsidRPr="000D76E8">
        <w:rPr>
          <w:rFonts w:ascii="Arial" w:hAnsi="Arial" w:cs="Arial"/>
        </w:rPr>
        <w:t>money paid over to a financial institution shall be directly paid over to the financial institution without any intervention by an agent or third party. The Chief Financial Officer shall ensure that he/she receives a receipt or certificate of such an investment</w:t>
      </w:r>
      <w:r>
        <w:rPr>
          <w:rFonts w:ascii="Arial" w:hAnsi="Arial" w:cs="Arial"/>
        </w:rPr>
        <w:t>.</w:t>
      </w:r>
    </w:p>
    <w:p w:rsidR="00124F8D" w:rsidRPr="000D76E8" w:rsidRDefault="00124F8D" w:rsidP="00D43764">
      <w:pPr>
        <w:ind w:left="1440" w:hanging="720"/>
        <w:jc w:val="both"/>
        <w:rPr>
          <w:rFonts w:ascii="Arial" w:hAnsi="Arial" w:cs="Arial"/>
          <w:b/>
        </w:rPr>
      </w:pPr>
    </w:p>
    <w:p w:rsidR="007C79CB" w:rsidRDefault="007C79CB" w:rsidP="00D43764">
      <w:pPr>
        <w:ind w:left="1440" w:hanging="720"/>
        <w:jc w:val="both"/>
        <w:rPr>
          <w:rFonts w:ascii="Arial" w:hAnsi="Arial" w:cs="Arial"/>
        </w:rPr>
      </w:pPr>
    </w:p>
    <w:p w:rsidR="007C79CB" w:rsidRPr="00D95E3E" w:rsidRDefault="007C79CB" w:rsidP="00D95E3E">
      <w:pPr>
        <w:pStyle w:val="ListParagraph"/>
        <w:numPr>
          <w:ilvl w:val="0"/>
          <w:numId w:val="1"/>
        </w:numPr>
        <w:jc w:val="both"/>
        <w:rPr>
          <w:rFonts w:ascii="Arial" w:hAnsi="Arial" w:cs="Arial"/>
          <w:b/>
        </w:rPr>
      </w:pPr>
      <w:r w:rsidRPr="00D95E3E">
        <w:rPr>
          <w:rFonts w:ascii="Arial" w:hAnsi="Arial" w:cs="Arial"/>
          <w:b/>
        </w:rPr>
        <w:t>INVESTMENTS DENOMINATED IN FOREIGN CURRENCIES PROHIBITED</w:t>
      </w:r>
      <w:r w:rsidR="00D95E3E" w:rsidRPr="00D95E3E">
        <w:rPr>
          <w:rFonts w:ascii="Arial" w:hAnsi="Arial" w:cs="Arial"/>
          <w:b/>
        </w:rPr>
        <w:t>.</w:t>
      </w:r>
    </w:p>
    <w:p w:rsidR="00D95E3E" w:rsidRDefault="00D95E3E" w:rsidP="00D95E3E">
      <w:pPr>
        <w:jc w:val="both"/>
        <w:rPr>
          <w:rFonts w:ascii="Arial" w:hAnsi="Arial" w:cs="Arial"/>
          <w:b/>
        </w:rPr>
      </w:pPr>
    </w:p>
    <w:p w:rsidR="00D95E3E" w:rsidRDefault="00D95E3E" w:rsidP="00D95E3E">
      <w:pPr>
        <w:ind w:left="720" w:hanging="720"/>
        <w:jc w:val="both"/>
        <w:rPr>
          <w:rFonts w:ascii="Arial" w:hAnsi="Arial" w:cs="Arial"/>
        </w:rPr>
      </w:pPr>
      <w:r>
        <w:rPr>
          <w:rFonts w:ascii="Arial" w:hAnsi="Arial" w:cs="Arial"/>
        </w:rPr>
        <w:t>7.1.</w:t>
      </w:r>
      <w:r>
        <w:rPr>
          <w:rFonts w:ascii="Arial" w:hAnsi="Arial" w:cs="Arial"/>
        </w:rPr>
        <w:tab/>
        <w:t>A municipality may make an investment only if the investment is denominated in Rand and is not indexed to, or affected by, fluctuations in the value of the Rand against any foreign currency.</w:t>
      </w:r>
    </w:p>
    <w:p w:rsidR="00D95E3E" w:rsidRDefault="00D95E3E" w:rsidP="00D95E3E">
      <w:pPr>
        <w:ind w:left="720" w:hanging="720"/>
        <w:jc w:val="both"/>
        <w:rPr>
          <w:rFonts w:ascii="Arial" w:hAnsi="Arial" w:cs="Arial"/>
        </w:rPr>
      </w:pPr>
    </w:p>
    <w:p w:rsidR="00124F8D" w:rsidRDefault="00124F8D" w:rsidP="00D95E3E">
      <w:pPr>
        <w:ind w:left="720" w:hanging="720"/>
        <w:jc w:val="both"/>
        <w:rPr>
          <w:rFonts w:ascii="Arial" w:hAnsi="Arial" w:cs="Arial"/>
        </w:rPr>
      </w:pPr>
    </w:p>
    <w:p w:rsidR="00D95E3E" w:rsidRPr="00D95E3E" w:rsidRDefault="00D95E3E" w:rsidP="00D95E3E">
      <w:pPr>
        <w:pStyle w:val="ListParagraph"/>
        <w:numPr>
          <w:ilvl w:val="0"/>
          <w:numId w:val="1"/>
        </w:numPr>
        <w:jc w:val="both"/>
        <w:rPr>
          <w:rFonts w:ascii="Arial" w:hAnsi="Arial" w:cs="Arial"/>
        </w:rPr>
      </w:pPr>
      <w:r>
        <w:rPr>
          <w:rFonts w:ascii="Arial" w:hAnsi="Arial" w:cs="Arial"/>
          <w:b/>
        </w:rPr>
        <w:t>PAYMENT OF COMMISSION</w:t>
      </w:r>
    </w:p>
    <w:p w:rsidR="00D95E3E" w:rsidRDefault="00D95E3E" w:rsidP="00D95E3E">
      <w:pPr>
        <w:jc w:val="both"/>
        <w:rPr>
          <w:rFonts w:ascii="Arial" w:hAnsi="Arial" w:cs="Arial"/>
        </w:rPr>
      </w:pPr>
    </w:p>
    <w:p w:rsidR="00D95E3E" w:rsidRDefault="00D95E3E" w:rsidP="00D95E3E">
      <w:pPr>
        <w:ind w:left="720" w:hanging="720"/>
        <w:jc w:val="both"/>
        <w:rPr>
          <w:rFonts w:ascii="Arial" w:hAnsi="Arial" w:cs="Arial"/>
        </w:rPr>
      </w:pPr>
      <w:r>
        <w:rPr>
          <w:rFonts w:ascii="Arial" w:hAnsi="Arial" w:cs="Arial"/>
        </w:rPr>
        <w:t>8.1.</w:t>
      </w:r>
      <w:r>
        <w:rPr>
          <w:rFonts w:ascii="Arial" w:hAnsi="Arial" w:cs="Arial"/>
        </w:rPr>
        <w:tab/>
        <w:t xml:space="preserve">No fee, commission or other reward may be paid to a </w:t>
      </w:r>
      <w:proofErr w:type="spellStart"/>
      <w:r>
        <w:rPr>
          <w:rFonts w:ascii="Arial" w:hAnsi="Arial" w:cs="Arial"/>
        </w:rPr>
        <w:t>councillor</w:t>
      </w:r>
      <w:proofErr w:type="spellEnd"/>
      <w:r>
        <w:rPr>
          <w:rFonts w:ascii="Arial" w:hAnsi="Arial" w:cs="Arial"/>
        </w:rPr>
        <w:t xml:space="preserve"> or of</w:t>
      </w:r>
      <w:r w:rsidR="00750054">
        <w:rPr>
          <w:rFonts w:ascii="Arial" w:hAnsi="Arial" w:cs="Arial"/>
        </w:rPr>
        <w:t>ficial of a municipality</w:t>
      </w:r>
      <w:r>
        <w:rPr>
          <w:rFonts w:ascii="Arial" w:hAnsi="Arial" w:cs="Arial"/>
        </w:rPr>
        <w:t xml:space="preserve"> or to a spouse or close family member of such councilor, director, official in respect of any investment made or referred by a municipality</w:t>
      </w:r>
      <w:r w:rsidR="00750054">
        <w:rPr>
          <w:rFonts w:ascii="Arial" w:hAnsi="Arial" w:cs="Arial"/>
        </w:rPr>
        <w:t>.</w:t>
      </w:r>
    </w:p>
    <w:p w:rsidR="00D95E3E" w:rsidRDefault="00D95E3E" w:rsidP="00D95E3E">
      <w:pPr>
        <w:ind w:left="720" w:hanging="720"/>
        <w:jc w:val="both"/>
        <w:rPr>
          <w:rFonts w:ascii="Arial" w:hAnsi="Arial" w:cs="Arial"/>
        </w:rPr>
      </w:pPr>
    </w:p>
    <w:p w:rsidR="00D95E3E" w:rsidRDefault="00D95E3E" w:rsidP="00D95E3E">
      <w:pPr>
        <w:ind w:left="720" w:hanging="720"/>
        <w:jc w:val="both"/>
        <w:rPr>
          <w:rFonts w:ascii="Arial" w:hAnsi="Arial" w:cs="Arial"/>
        </w:rPr>
      </w:pPr>
    </w:p>
    <w:p w:rsidR="00D95E3E" w:rsidRPr="00D95E3E" w:rsidRDefault="00D95E3E" w:rsidP="00D95E3E">
      <w:pPr>
        <w:pStyle w:val="ListParagraph"/>
        <w:numPr>
          <w:ilvl w:val="0"/>
          <w:numId w:val="1"/>
        </w:numPr>
        <w:jc w:val="both"/>
        <w:rPr>
          <w:rFonts w:ascii="Arial" w:hAnsi="Arial" w:cs="Arial"/>
        </w:rPr>
      </w:pPr>
      <w:r>
        <w:rPr>
          <w:rFonts w:ascii="Arial" w:hAnsi="Arial" w:cs="Arial"/>
          <w:b/>
        </w:rPr>
        <w:t>REPORTING REQUIREMENTS.</w:t>
      </w:r>
    </w:p>
    <w:p w:rsidR="00D95E3E" w:rsidRDefault="00D95E3E" w:rsidP="00D95E3E">
      <w:pPr>
        <w:jc w:val="both"/>
        <w:rPr>
          <w:rFonts w:ascii="Arial" w:hAnsi="Arial" w:cs="Arial"/>
        </w:rPr>
      </w:pPr>
    </w:p>
    <w:p w:rsidR="00D24EEB" w:rsidRDefault="00D24EEB" w:rsidP="00D24EEB">
      <w:pPr>
        <w:ind w:left="720" w:hanging="720"/>
        <w:jc w:val="both"/>
        <w:rPr>
          <w:rFonts w:ascii="Arial" w:hAnsi="Arial" w:cs="Arial"/>
        </w:rPr>
      </w:pPr>
      <w:r>
        <w:rPr>
          <w:rFonts w:ascii="Arial" w:hAnsi="Arial" w:cs="Arial"/>
        </w:rPr>
        <w:t>9.1.</w:t>
      </w:r>
      <w:r>
        <w:rPr>
          <w:rFonts w:ascii="Arial" w:hAnsi="Arial" w:cs="Arial"/>
        </w:rPr>
        <w:tab/>
        <w:t xml:space="preserve">The Accounting Officer of a </w:t>
      </w:r>
      <w:r w:rsidR="00124F8D">
        <w:rPr>
          <w:rFonts w:ascii="Arial" w:hAnsi="Arial" w:cs="Arial"/>
        </w:rPr>
        <w:t>municipality</w:t>
      </w:r>
      <w:r>
        <w:rPr>
          <w:rFonts w:ascii="Arial" w:hAnsi="Arial" w:cs="Arial"/>
        </w:rPr>
        <w:t xml:space="preserve"> must within 10 working days of the end of each month, as part of section 71 report required by the Act, submit to the mayor of the municipality</w:t>
      </w:r>
      <w:r w:rsidR="00750054">
        <w:rPr>
          <w:rFonts w:ascii="Arial" w:hAnsi="Arial" w:cs="Arial"/>
        </w:rPr>
        <w:t>,</w:t>
      </w:r>
      <w:r>
        <w:rPr>
          <w:rFonts w:ascii="Arial" w:hAnsi="Arial" w:cs="Arial"/>
        </w:rPr>
        <w:t xml:space="preserve"> a report describing in accordance with generally recognizes accounting practice the investment portfolio of that as at the end of the month.</w:t>
      </w:r>
    </w:p>
    <w:p w:rsidR="00D24EEB" w:rsidRDefault="00D24EEB" w:rsidP="00D24EEB">
      <w:pPr>
        <w:ind w:left="720" w:hanging="720"/>
        <w:jc w:val="both"/>
        <w:rPr>
          <w:rFonts w:ascii="Arial" w:hAnsi="Arial" w:cs="Arial"/>
        </w:rPr>
      </w:pPr>
    </w:p>
    <w:p w:rsidR="00D24EEB" w:rsidRDefault="00D24EEB" w:rsidP="00D24EEB">
      <w:pPr>
        <w:ind w:left="720" w:hanging="720"/>
        <w:jc w:val="both"/>
        <w:rPr>
          <w:rFonts w:ascii="Arial" w:hAnsi="Arial" w:cs="Arial"/>
        </w:rPr>
      </w:pPr>
      <w:r>
        <w:rPr>
          <w:rFonts w:ascii="Arial" w:hAnsi="Arial" w:cs="Arial"/>
        </w:rPr>
        <w:t>9.2.</w:t>
      </w:r>
      <w:r>
        <w:rPr>
          <w:rFonts w:ascii="Arial" w:hAnsi="Arial" w:cs="Arial"/>
        </w:rPr>
        <w:tab/>
        <w:t>The report referred must set out at least-</w:t>
      </w:r>
    </w:p>
    <w:p w:rsidR="00D24EEB" w:rsidRDefault="00D24EEB" w:rsidP="00D24EEB">
      <w:pPr>
        <w:ind w:left="720" w:hanging="720"/>
        <w:jc w:val="both"/>
        <w:rPr>
          <w:rFonts w:ascii="Arial" w:hAnsi="Arial" w:cs="Arial"/>
        </w:rPr>
      </w:pPr>
    </w:p>
    <w:p w:rsidR="00D24EEB" w:rsidRDefault="00D24EEB" w:rsidP="00D24EEB">
      <w:pPr>
        <w:pStyle w:val="ListParagraph"/>
        <w:numPr>
          <w:ilvl w:val="0"/>
          <w:numId w:val="5"/>
        </w:numPr>
        <w:jc w:val="both"/>
        <w:rPr>
          <w:rFonts w:ascii="Arial" w:hAnsi="Arial" w:cs="Arial"/>
        </w:rPr>
      </w:pPr>
      <w:r>
        <w:rPr>
          <w:rFonts w:ascii="Arial" w:hAnsi="Arial" w:cs="Arial"/>
        </w:rPr>
        <w:t>the market value of each investment as at the beginning of the reporting period,</w:t>
      </w:r>
    </w:p>
    <w:p w:rsidR="00D24EEB" w:rsidRDefault="00D24EEB" w:rsidP="00D24EEB">
      <w:pPr>
        <w:pStyle w:val="ListParagraph"/>
        <w:numPr>
          <w:ilvl w:val="0"/>
          <w:numId w:val="5"/>
        </w:numPr>
        <w:jc w:val="both"/>
        <w:rPr>
          <w:rFonts w:ascii="Arial" w:hAnsi="Arial" w:cs="Arial"/>
        </w:rPr>
      </w:pPr>
      <w:proofErr w:type="gramStart"/>
      <w:r>
        <w:rPr>
          <w:rFonts w:ascii="Arial" w:hAnsi="Arial" w:cs="Arial"/>
        </w:rPr>
        <w:t>any</w:t>
      </w:r>
      <w:proofErr w:type="gramEnd"/>
      <w:r>
        <w:rPr>
          <w:rFonts w:ascii="Arial" w:hAnsi="Arial" w:cs="Arial"/>
        </w:rPr>
        <w:t xml:space="preserve"> changes to the investment portfolio during the reporting period.</w:t>
      </w:r>
    </w:p>
    <w:p w:rsidR="00D24EEB" w:rsidRDefault="00D24EEB" w:rsidP="00D24EEB">
      <w:pPr>
        <w:pStyle w:val="ListParagraph"/>
        <w:numPr>
          <w:ilvl w:val="0"/>
          <w:numId w:val="5"/>
        </w:numPr>
        <w:jc w:val="both"/>
        <w:rPr>
          <w:rFonts w:ascii="Arial" w:hAnsi="Arial" w:cs="Arial"/>
        </w:rPr>
      </w:pPr>
      <w:r>
        <w:rPr>
          <w:rFonts w:ascii="Arial" w:hAnsi="Arial" w:cs="Arial"/>
        </w:rPr>
        <w:t>The market value of each investment as at the end of the reporting period and</w:t>
      </w:r>
    </w:p>
    <w:p w:rsidR="00D24EEB" w:rsidRDefault="00D24EEB" w:rsidP="00D24EEB">
      <w:pPr>
        <w:pStyle w:val="ListParagraph"/>
        <w:numPr>
          <w:ilvl w:val="0"/>
          <w:numId w:val="5"/>
        </w:numPr>
        <w:jc w:val="both"/>
        <w:rPr>
          <w:rFonts w:ascii="Arial" w:hAnsi="Arial" w:cs="Arial"/>
        </w:rPr>
      </w:pPr>
      <w:r>
        <w:rPr>
          <w:rFonts w:ascii="Arial" w:hAnsi="Arial" w:cs="Arial"/>
        </w:rPr>
        <w:t>Fully accrued interest and yield for the reporting period,</w:t>
      </w:r>
    </w:p>
    <w:p w:rsidR="00D24EEB" w:rsidRDefault="00D24EEB" w:rsidP="00D24EEB">
      <w:pPr>
        <w:jc w:val="both"/>
        <w:rPr>
          <w:rFonts w:ascii="Arial" w:hAnsi="Arial" w:cs="Arial"/>
        </w:rPr>
      </w:pPr>
    </w:p>
    <w:p w:rsidR="00D24EEB" w:rsidRPr="00D24EEB" w:rsidRDefault="00D24EEB" w:rsidP="00D24EEB">
      <w:pPr>
        <w:pStyle w:val="ListParagraph"/>
        <w:numPr>
          <w:ilvl w:val="0"/>
          <w:numId w:val="1"/>
        </w:numPr>
        <w:jc w:val="both"/>
        <w:rPr>
          <w:rFonts w:ascii="Arial" w:hAnsi="Arial" w:cs="Arial"/>
        </w:rPr>
      </w:pPr>
      <w:r>
        <w:rPr>
          <w:rFonts w:ascii="Arial" w:hAnsi="Arial" w:cs="Arial"/>
          <w:b/>
        </w:rPr>
        <w:t>CREDIT REQUIREMENT</w:t>
      </w:r>
    </w:p>
    <w:p w:rsidR="00D24EEB" w:rsidRDefault="00D24EEB" w:rsidP="00D24EEB">
      <w:pPr>
        <w:jc w:val="both"/>
        <w:rPr>
          <w:rFonts w:ascii="Arial" w:hAnsi="Arial" w:cs="Arial"/>
        </w:rPr>
      </w:pPr>
    </w:p>
    <w:p w:rsidR="00D24EEB" w:rsidRDefault="00D24EEB" w:rsidP="00D24EEB">
      <w:pPr>
        <w:ind w:left="720" w:hanging="720"/>
        <w:jc w:val="both"/>
        <w:rPr>
          <w:rFonts w:ascii="Arial" w:hAnsi="Arial" w:cs="Arial"/>
        </w:rPr>
      </w:pPr>
      <w:r>
        <w:rPr>
          <w:rFonts w:ascii="Arial" w:hAnsi="Arial" w:cs="Arial"/>
        </w:rPr>
        <w:t>10.1.</w:t>
      </w:r>
      <w:r>
        <w:rPr>
          <w:rFonts w:ascii="Arial" w:hAnsi="Arial" w:cs="Arial"/>
        </w:rPr>
        <w:tab/>
        <w:t xml:space="preserve">A </w:t>
      </w:r>
      <w:r w:rsidR="00750054">
        <w:rPr>
          <w:rFonts w:ascii="Arial" w:hAnsi="Arial" w:cs="Arial"/>
        </w:rPr>
        <w:t>municipality</w:t>
      </w:r>
      <w:r>
        <w:rPr>
          <w:rFonts w:ascii="Arial" w:hAnsi="Arial" w:cs="Arial"/>
        </w:rPr>
        <w:t xml:space="preserve"> must take all reasonable and prudent steps consistent with the investment policy and according to the standards of care set out in clause 5 of this policy, to ensure that it places its investments with credit-worthy institutions.</w:t>
      </w:r>
    </w:p>
    <w:p w:rsidR="00D24EEB" w:rsidRDefault="00D24EEB" w:rsidP="00D24EEB">
      <w:pPr>
        <w:jc w:val="both"/>
        <w:rPr>
          <w:rFonts w:ascii="Arial" w:hAnsi="Arial" w:cs="Arial"/>
        </w:rPr>
      </w:pPr>
    </w:p>
    <w:p w:rsidR="00D24EEB" w:rsidRDefault="00D24EEB" w:rsidP="00D24EEB">
      <w:pPr>
        <w:jc w:val="both"/>
        <w:rPr>
          <w:rFonts w:ascii="Arial" w:hAnsi="Arial" w:cs="Arial"/>
        </w:rPr>
      </w:pPr>
      <w:r>
        <w:rPr>
          <w:rFonts w:ascii="Arial" w:hAnsi="Arial" w:cs="Arial"/>
        </w:rPr>
        <w:t>10.2.</w:t>
      </w:r>
      <w:r>
        <w:rPr>
          <w:rFonts w:ascii="Arial" w:hAnsi="Arial" w:cs="Arial"/>
        </w:rPr>
        <w:tab/>
        <w:t xml:space="preserve"> A munic</w:t>
      </w:r>
      <w:r w:rsidR="00750054">
        <w:rPr>
          <w:rFonts w:ascii="Arial" w:hAnsi="Arial" w:cs="Arial"/>
        </w:rPr>
        <w:t xml:space="preserve">ipality </w:t>
      </w:r>
      <w:r>
        <w:rPr>
          <w:rFonts w:ascii="Arial" w:hAnsi="Arial" w:cs="Arial"/>
        </w:rPr>
        <w:t>-</w:t>
      </w:r>
    </w:p>
    <w:p w:rsidR="00D24EEB" w:rsidRDefault="00D24EEB" w:rsidP="00D24EEB">
      <w:pPr>
        <w:jc w:val="both"/>
        <w:rPr>
          <w:rFonts w:ascii="Arial" w:hAnsi="Arial" w:cs="Arial"/>
        </w:rPr>
      </w:pPr>
      <w:r>
        <w:rPr>
          <w:rFonts w:ascii="Arial" w:hAnsi="Arial" w:cs="Arial"/>
        </w:rPr>
        <w:tab/>
      </w:r>
    </w:p>
    <w:p w:rsidR="00D24EEB" w:rsidRDefault="00D24EEB" w:rsidP="00D24EEB">
      <w:pPr>
        <w:jc w:val="both"/>
        <w:rPr>
          <w:rFonts w:ascii="Arial" w:hAnsi="Arial" w:cs="Arial"/>
        </w:rPr>
      </w:pPr>
      <w:r>
        <w:rPr>
          <w:rFonts w:ascii="Arial" w:hAnsi="Arial" w:cs="Arial"/>
        </w:rPr>
        <w:tab/>
      </w:r>
      <w:r w:rsidR="006056FD">
        <w:rPr>
          <w:rFonts w:ascii="Arial" w:hAnsi="Arial" w:cs="Arial"/>
        </w:rPr>
        <w:t>10.2.1.</w:t>
      </w:r>
      <w:r w:rsidR="006056FD">
        <w:rPr>
          <w:rFonts w:ascii="Arial" w:hAnsi="Arial" w:cs="Arial"/>
        </w:rPr>
        <w:tab/>
      </w:r>
      <w:proofErr w:type="gramStart"/>
      <w:r w:rsidR="006056FD">
        <w:rPr>
          <w:rFonts w:ascii="Arial" w:hAnsi="Arial" w:cs="Arial"/>
        </w:rPr>
        <w:t>regularly</w:t>
      </w:r>
      <w:proofErr w:type="gramEnd"/>
      <w:r w:rsidR="006056FD">
        <w:rPr>
          <w:rFonts w:ascii="Arial" w:hAnsi="Arial" w:cs="Arial"/>
        </w:rPr>
        <w:t xml:space="preserve"> monitor its investment portfolio, and</w:t>
      </w:r>
    </w:p>
    <w:p w:rsidR="00124F8D" w:rsidRDefault="006056FD" w:rsidP="006056FD">
      <w:pPr>
        <w:ind w:left="720" w:hanging="720"/>
        <w:jc w:val="both"/>
        <w:rPr>
          <w:rFonts w:ascii="Arial" w:hAnsi="Arial" w:cs="Arial"/>
        </w:rPr>
      </w:pPr>
      <w:r>
        <w:rPr>
          <w:rFonts w:ascii="Arial" w:hAnsi="Arial" w:cs="Arial"/>
        </w:rPr>
        <w:tab/>
        <w:t>10.2.2.</w:t>
      </w:r>
      <w:r>
        <w:rPr>
          <w:rFonts w:ascii="Arial" w:hAnsi="Arial" w:cs="Arial"/>
        </w:rPr>
        <w:tab/>
      </w:r>
      <w:proofErr w:type="gramStart"/>
      <w:r>
        <w:rPr>
          <w:rFonts w:ascii="Arial" w:hAnsi="Arial" w:cs="Arial"/>
        </w:rPr>
        <w:t>when</w:t>
      </w:r>
      <w:proofErr w:type="gramEnd"/>
      <w:r>
        <w:rPr>
          <w:rFonts w:ascii="Arial" w:hAnsi="Arial" w:cs="Arial"/>
        </w:rPr>
        <w:t xml:space="preserve"> appropriate liquidate an investment that no longer has the minimum acceptable credit rating as specified in this policy.</w:t>
      </w:r>
    </w:p>
    <w:p w:rsidR="006056FD" w:rsidRDefault="006056FD" w:rsidP="006056FD">
      <w:pPr>
        <w:ind w:left="720" w:hanging="720"/>
        <w:jc w:val="both"/>
        <w:rPr>
          <w:rFonts w:ascii="Arial" w:hAnsi="Arial" w:cs="Arial"/>
        </w:rPr>
      </w:pPr>
    </w:p>
    <w:p w:rsidR="006056FD" w:rsidRPr="006056FD" w:rsidRDefault="006056FD" w:rsidP="006056FD">
      <w:pPr>
        <w:pStyle w:val="ListParagraph"/>
        <w:numPr>
          <w:ilvl w:val="0"/>
          <w:numId w:val="1"/>
        </w:numPr>
        <w:jc w:val="both"/>
        <w:rPr>
          <w:rFonts w:ascii="Arial" w:hAnsi="Arial" w:cs="Arial"/>
        </w:rPr>
      </w:pPr>
      <w:r>
        <w:rPr>
          <w:rFonts w:ascii="Arial" w:hAnsi="Arial" w:cs="Arial"/>
          <w:b/>
        </w:rPr>
        <w:t>PORTFOLIO DIVERSIFICATION.</w:t>
      </w:r>
    </w:p>
    <w:p w:rsidR="006056FD" w:rsidRDefault="006056FD" w:rsidP="006056FD">
      <w:pPr>
        <w:jc w:val="both"/>
        <w:rPr>
          <w:rFonts w:ascii="Arial" w:hAnsi="Arial" w:cs="Arial"/>
        </w:rPr>
      </w:pPr>
    </w:p>
    <w:p w:rsidR="006056FD" w:rsidRDefault="006056FD" w:rsidP="006056FD">
      <w:pPr>
        <w:ind w:left="720" w:hanging="720"/>
        <w:jc w:val="both"/>
        <w:rPr>
          <w:rFonts w:ascii="Arial" w:hAnsi="Arial" w:cs="Arial"/>
        </w:rPr>
      </w:pPr>
      <w:r>
        <w:rPr>
          <w:rFonts w:ascii="Arial" w:hAnsi="Arial" w:cs="Arial"/>
        </w:rPr>
        <w:t>11.1.</w:t>
      </w:r>
      <w:r>
        <w:rPr>
          <w:rFonts w:ascii="Arial" w:hAnsi="Arial" w:cs="Arial"/>
        </w:rPr>
        <w:tab/>
        <w:t>A municipality must take all reasonable and prudent steps, consistent with its investment policy and according to the standard of care prescribed in clause 5 to diversify its investment portfolio across institutions, types of investment and investment maturities.</w:t>
      </w:r>
    </w:p>
    <w:p w:rsidR="00B518EE" w:rsidRDefault="00B518EE" w:rsidP="006056FD">
      <w:pPr>
        <w:ind w:left="720" w:hanging="720"/>
        <w:jc w:val="both"/>
        <w:rPr>
          <w:rFonts w:ascii="Arial" w:hAnsi="Arial" w:cs="Arial"/>
        </w:rPr>
      </w:pPr>
    </w:p>
    <w:p w:rsidR="00491BEA" w:rsidRPr="00B518EE" w:rsidRDefault="00B518EE" w:rsidP="00891C49">
      <w:pPr>
        <w:pStyle w:val="ListParagraph"/>
        <w:numPr>
          <w:ilvl w:val="0"/>
          <w:numId w:val="1"/>
        </w:numPr>
        <w:jc w:val="both"/>
        <w:rPr>
          <w:rFonts w:ascii="Arial" w:hAnsi="Arial" w:cs="Arial"/>
        </w:rPr>
      </w:pPr>
      <w:r>
        <w:rPr>
          <w:rFonts w:ascii="Arial" w:hAnsi="Arial" w:cs="Arial"/>
          <w:b/>
        </w:rPr>
        <w:t>REVIEW OF THE POLICY</w:t>
      </w:r>
    </w:p>
    <w:p w:rsidR="00B518EE" w:rsidRDefault="00B518EE" w:rsidP="00B518EE">
      <w:pPr>
        <w:jc w:val="both"/>
        <w:rPr>
          <w:rFonts w:ascii="Arial" w:hAnsi="Arial" w:cs="Arial"/>
        </w:rPr>
      </w:pPr>
    </w:p>
    <w:p w:rsidR="00491BEA" w:rsidRDefault="00B518EE" w:rsidP="00B518EE">
      <w:pPr>
        <w:pStyle w:val="ListParagraph"/>
        <w:jc w:val="both"/>
        <w:rPr>
          <w:rFonts w:ascii="Arial" w:hAnsi="Arial" w:cs="Arial"/>
        </w:rPr>
      </w:pPr>
      <w:r>
        <w:rPr>
          <w:rFonts w:ascii="Arial" w:hAnsi="Arial" w:cs="Arial"/>
        </w:rPr>
        <w:t>This policy shall become effective once approved by the municipal council.</w:t>
      </w:r>
    </w:p>
    <w:p w:rsidR="00B518EE" w:rsidRDefault="00B518EE" w:rsidP="00B518EE">
      <w:pPr>
        <w:pStyle w:val="ListParagraph"/>
        <w:jc w:val="both"/>
        <w:rPr>
          <w:rFonts w:ascii="Arial" w:hAnsi="Arial" w:cs="Arial"/>
        </w:rPr>
      </w:pPr>
    </w:p>
    <w:p w:rsidR="00B518EE" w:rsidRPr="00B518EE" w:rsidRDefault="00B518EE" w:rsidP="00B518EE">
      <w:pPr>
        <w:pStyle w:val="ListParagraph"/>
        <w:numPr>
          <w:ilvl w:val="0"/>
          <w:numId w:val="1"/>
        </w:numPr>
        <w:jc w:val="both"/>
        <w:rPr>
          <w:rFonts w:ascii="Arial" w:hAnsi="Arial" w:cs="Arial"/>
        </w:rPr>
      </w:pPr>
      <w:r>
        <w:rPr>
          <w:rFonts w:ascii="Arial" w:hAnsi="Arial" w:cs="Arial"/>
          <w:b/>
        </w:rPr>
        <w:t>EFFECTIVE DATE.</w:t>
      </w:r>
    </w:p>
    <w:p w:rsidR="00B518EE" w:rsidRDefault="00B518EE" w:rsidP="00B518EE">
      <w:pPr>
        <w:jc w:val="both"/>
        <w:rPr>
          <w:rFonts w:ascii="Arial" w:hAnsi="Arial" w:cs="Arial"/>
        </w:rPr>
      </w:pPr>
    </w:p>
    <w:p w:rsidR="002B656A" w:rsidRPr="00C16081" w:rsidRDefault="00B518EE" w:rsidP="006E611D">
      <w:pPr>
        <w:ind w:left="720"/>
        <w:jc w:val="both"/>
        <w:rPr>
          <w:rFonts w:ascii="Arial" w:hAnsi="Arial" w:cs="Arial"/>
          <w:b/>
        </w:rPr>
      </w:pPr>
      <w:r>
        <w:rPr>
          <w:rFonts w:ascii="Arial" w:hAnsi="Arial" w:cs="Arial"/>
        </w:rPr>
        <w:t>This policy shall become effective once it is approved by the municipal council.</w:t>
      </w:r>
    </w:p>
    <w:sectPr w:rsidR="002B656A" w:rsidRPr="00C160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11409"/>
    <w:multiLevelType w:val="multilevel"/>
    <w:tmpl w:val="A718D85C"/>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89E5606"/>
    <w:multiLevelType w:val="multilevel"/>
    <w:tmpl w:val="BC4C3F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FF2F68"/>
    <w:multiLevelType w:val="hybridMultilevel"/>
    <w:tmpl w:val="635C5942"/>
    <w:lvl w:ilvl="0" w:tplc="D750AC7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283941CA"/>
    <w:multiLevelType w:val="hybridMultilevel"/>
    <w:tmpl w:val="611A90F8"/>
    <w:lvl w:ilvl="0" w:tplc="6AD2836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nsid w:val="6CB6481D"/>
    <w:multiLevelType w:val="hybridMultilevel"/>
    <w:tmpl w:val="8F866E30"/>
    <w:lvl w:ilvl="0" w:tplc="8A10FEAC">
      <w:start w:val="1"/>
      <w:numFmt w:val="decimal"/>
      <w:lvlText w:val="%1."/>
      <w:lvlJc w:val="left"/>
      <w:pPr>
        <w:tabs>
          <w:tab w:val="num" w:pos="720"/>
        </w:tabs>
        <w:ind w:left="720" w:hanging="720"/>
      </w:pPr>
      <w:rPr>
        <w:rFonts w:hint="default"/>
        <w:b/>
      </w:rPr>
    </w:lvl>
    <w:lvl w:ilvl="1" w:tplc="CA0A95B2">
      <w:start w:val="1"/>
      <w:numFmt w:val="lowerLetter"/>
      <w:lvlText w:val="%2)"/>
      <w:lvlJc w:val="left"/>
      <w:pPr>
        <w:tabs>
          <w:tab w:val="num" w:pos="1440"/>
        </w:tabs>
        <w:ind w:left="1440" w:hanging="720"/>
      </w:pPr>
      <w:rPr>
        <w:rFonts w:hint="default"/>
      </w:rPr>
    </w:lvl>
    <w:lvl w:ilvl="2" w:tplc="E3385C2A">
      <w:start w:val="4"/>
      <w:numFmt w:val="bullet"/>
      <w:lvlText w:val="-"/>
      <w:lvlJc w:val="left"/>
      <w:pPr>
        <w:tabs>
          <w:tab w:val="num" w:pos="2340"/>
        </w:tabs>
        <w:ind w:left="2340" w:hanging="720"/>
      </w:pPr>
      <w:rPr>
        <w:rFonts w:ascii="Times New Roman" w:eastAsia="Times New Roman" w:hAnsi="Times New Roman"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56A"/>
    <w:rsid w:val="000D49BD"/>
    <w:rsid w:val="000D76E8"/>
    <w:rsid w:val="00124F8D"/>
    <w:rsid w:val="00184469"/>
    <w:rsid w:val="001E4808"/>
    <w:rsid w:val="002B656A"/>
    <w:rsid w:val="0036419D"/>
    <w:rsid w:val="003641F7"/>
    <w:rsid w:val="00491BEA"/>
    <w:rsid w:val="004F50BE"/>
    <w:rsid w:val="006056FD"/>
    <w:rsid w:val="006E611D"/>
    <w:rsid w:val="00750054"/>
    <w:rsid w:val="007C79CB"/>
    <w:rsid w:val="008F1E26"/>
    <w:rsid w:val="009256E1"/>
    <w:rsid w:val="00B518EE"/>
    <w:rsid w:val="00CA0BF1"/>
    <w:rsid w:val="00D041E7"/>
    <w:rsid w:val="00D24EEB"/>
    <w:rsid w:val="00D43764"/>
    <w:rsid w:val="00D95E3E"/>
    <w:rsid w:val="00EA3B7D"/>
    <w:rsid w:val="00FE72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79EEAC-8D68-4147-9825-DCB6F6ADD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56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2B656A"/>
    <w:rPr>
      <w:rFonts w:cs="Times New Roman"/>
      <w:sz w:val="16"/>
      <w:szCs w:val="16"/>
    </w:rPr>
  </w:style>
  <w:style w:type="paragraph" w:styleId="CommentText">
    <w:name w:val="annotation text"/>
    <w:basedOn w:val="Normal"/>
    <w:link w:val="CommentTextChar"/>
    <w:rsid w:val="002B656A"/>
    <w:rPr>
      <w:sz w:val="20"/>
      <w:szCs w:val="20"/>
      <w:lang w:val="en-ZA"/>
    </w:rPr>
  </w:style>
  <w:style w:type="character" w:customStyle="1" w:styleId="CommentTextChar">
    <w:name w:val="Comment Text Char"/>
    <w:basedOn w:val="DefaultParagraphFont"/>
    <w:link w:val="CommentText"/>
    <w:rsid w:val="002B656A"/>
    <w:rPr>
      <w:rFonts w:ascii="Times New Roman" w:eastAsia="Times New Roman" w:hAnsi="Times New Roman" w:cs="Times New Roman"/>
      <w:sz w:val="20"/>
      <w:szCs w:val="20"/>
    </w:rPr>
  </w:style>
  <w:style w:type="paragraph" w:styleId="NoSpacing">
    <w:name w:val="No Spacing"/>
    <w:uiPriority w:val="1"/>
    <w:qFormat/>
    <w:rsid w:val="002B656A"/>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B65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6A"/>
    <w:rPr>
      <w:rFonts w:ascii="Segoe UI" w:eastAsia="Times New Roman" w:hAnsi="Segoe UI" w:cs="Segoe UI"/>
      <w:sz w:val="18"/>
      <w:szCs w:val="18"/>
      <w:lang w:val="en-US"/>
    </w:rPr>
  </w:style>
  <w:style w:type="paragraph" w:styleId="ListParagraph">
    <w:name w:val="List Paragraph"/>
    <w:basedOn w:val="Normal"/>
    <w:uiPriority w:val="34"/>
    <w:qFormat/>
    <w:rsid w:val="004F5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Molefe</dc:creator>
  <cp:keywords/>
  <dc:description/>
  <cp:lastModifiedBy>Khathutshelo Mabija</cp:lastModifiedBy>
  <cp:revision>5</cp:revision>
  <dcterms:created xsi:type="dcterms:W3CDTF">2019-05-23T08:18:00Z</dcterms:created>
  <dcterms:modified xsi:type="dcterms:W3CDTF">2019-05-23T09:04:00Z</dcterms:modified>
</cp:coreProperties>
</file>